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6C" w:rsidRDefault="0012096C" w:rsidP="00295556">
      <w:pPr>
        <w:spacing w:after="0" w:line="240" w:lineRule="auto"/>
        <w:rPr>
          <w:rFonts w:ascii="Arial" w:hAnsi="Arial" w:cs="Arial"/>
        </w:rPr>
      </w:pPr>
    </w:p>
    <w:tbl>
      <w:tblPr>
        <w:tblW w:w="95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9"/>
        <w:gridCol w:w="729"/>
        <w:gridCol w:w="1984"/>
        <w:gridCol w:w="5934"/>
      </w:tblGrid>
      <w:tr w:rsidR="00872C28" w:rsidRPr="00872C28" w:rsidTr="00BE777B">
        <w:tc>
          <w:tcPr>
            <w:tcW w:w="939" w:type="dxa"/>
            <w:shd w:val="clear" w:color="auto" w:fill="auto"/>
          </w:tcPr>
          <w:p w:rsidR="00872C28" w:rsidRPr="00872C28" w:rsidRDefault="00BE777B" w:rsidP="00CC4C9B">
            <w:pPr>
              <w:spacing w:before="60" w:after="60"/>
              <w:rPr>
                <w:rFonts w:ascii="Arial" w:hAnsi="Arial" w:cs="Arial"/>
              </w:rPr>
            </w:pPr>
            <w:r w:rsidRPr="00BE777B">
              <w:rPr>
                <w:noProof/>
                <w:lang w:val="en-GB" w:eastAsia="en-GB"/>
              </w:rPr>
              <w:drawing>
                <wp:inline distT="0" distB="0" distL="0" distR="0" wp14:anchorId="3CC34C5F" wp14:editId="2B55A324">
                  <wp:extent cx="423475" cy="403860"/>
                  <wp:effectExtent l="0" t="0" r="0" b="0"/>
                  <wp:docPr id="10" name="Picture 6" descr="https://upload.wikimedia.org/wikipedia/commons/thumb/f/fa/IUCN_logo.svg/1074px-IUC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https://upload.wikimedia.org/wikipedia/commons/thumb/f/fa/IUCN_logo.svg/1074px-IUCN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956" cy="406226"/>
                          </a:xfrm>
                          <a:prstGeom prst="rect">
                            <a:avLst/>
                          </a:prstGeom>
                          <a:noFill/>
                          <a:extLst/>
                        </pic:spPr>
                      </pic:pic>
                    </a:graphicData>
                  </a:graphic>
                </wp:inline>
              </w:drawing>
            </w:r>
          </w:p>
        </w:tc>
        <w:tc>
          <w:tcPr>
            <w:tcW w:w="8647" w:type="dxa"/>
            <w:gridSpan w:val="3"/>
            <w:shd w:val="clear" w:color="auto" w:fill="548DD4" w:themeFill="text2" w:themeFillTint="99"/>
          </w:tcPr>
          <w:p w:rsidR="00BE777B" w:rsidRPr="00BE777B" w:rsidRDefault="00872C28" w:rsidP="00CC4C9B">
            <w:pPr>
              <w:spacing w:before="60" w:after="60"/>
              <w:rPr>
                <w:rFonts w:ascii="Arial" w:eastAsia="Arial" w:hAnsi="Arial" w:cs="Arial"/>
                <w:b/>
                <w:color w:val="FFFFFF" w:themeColor="background1"/>
                <w:sz w:val="20"/>
                <w:szCs w:val="20"/>
              </w:rPr>
            </w:pPr>
            <w:r w:rsidRPr="00BE777B">
              <w:rPr>
                <w:rFonts w:ascii="Arial" w:eastAsia="Arial" w:hAnsi="Arial" w:cs="Arial"/>
                <w:b/>
                <w:color w:val="FFFFFF" w:themeColor="background1"/>
                <w:sz w:val="20"/>
                <w:szCs w:val="20"/>
              </w:rPr>
              <w:t xml:space="preserve">THE IUCN GREEN LIST OF PROTECTED AND CONSERVED AREAS: </w:t>
            </w:r>
          </w:p>
          <w:p w:rsidR="00872C28" w:rsidRPr="00BE777B" w:rsidRDefault="00872C28" w:rsidP="00CC4C9B">
            <w:pPr>
              <w:spacing w:before="60" w:after="60"/>
              <w:rPr>
                <w:rFonts w:ascii="Arial" w:hAnsi="Arial" w:cs="Arial"/>
                <w:b/>
                <w:color w:val="FFFFFF" w:themeColor="background1"/>
              </w:rPr>
            </w:pPr>
            <w:r w:rsidRPr="00BE777B">
              <w:rPr>
                <w:rFonts w:ascii="Arial" w:eastAsia="Arial" w:hAnsi="Arial" w:cs="Arial"/>
                <w:b/>
                <w:color w:val="FFFFFF" w:themeColor="background1"/>
                <w:sz w:val="20"/>
                <w:szCs w:val="20"/>
              </w:rPr>
              <w:t>GLOBAL STANDARD</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Version</w:t>
            </w:r>
          </w:p>
        </w:tc>
        <w:tc>
          <w:tcPr>
            <w:tcW w:w="5934" w:type="dxa"/>
            <w:shd w:val="clear" w:color="auto" w:fill="auto"/>
          </w:tcPr>
          <w:p w:rsidR="00872C28" w:rsidRPr="00872C28" w:rsidRDefault="00872C28" w:rsidP="00CC4C9B">
            <w:pPr>
              <w:spacing w:before="60" w:after="60"/>
              <w:rPr>
                <w:rFonts w:ascii="Arial" w:hAnsi="Arial" w:cs="Arial"/>
              </w:rPr>
            </w:pPr>
            <w:r>
              <w:rPr>
                <w:rFonts w:ascii="Arial" w:eastAsia="Arial" w:hAnsi="Arial" w:cs="Arial"/>
                <w:sz w:val="20"/>
                <w:szCs w:val="20"/>
              </w:rPr>
              <w:t>1.0</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Source language</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b/>
                <w:sz w:val="20"/>
                <w:szCs w:val="20"/>
              </w:rPr>
              <w:t>English</w:t>
            </w:r>
            <w:r w:rsidRPr="00872C28">
              <w:rPr>
                <w:rFonts w:ascii="Arial" w:eastAsia="Arial" w:hAnsi="Arial" w:cs="Arial"/>
                <w:sz w:val="20"/>
                <w:szCs w:val="20"/>
              </w:rPr>
              <w:t>. Official translations available.</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Responsible Unit</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b/>
                <w:sz w:val="20"/>
                <w:szCs w:val="20"/>
              </w:rPr>
              <w:t>IUCN GLOBAL PROTECTED AREAS PROGRAMME</w:t>
            </w:r>
            <w:r w:rsidR="005843D7">
              <w:rPr>
                <w:rFonts w:ascii="Arial" w:eastAsia="Arial" w:hAnsi="Arial" w:cs="Arial"/>
                <w:b/>
                <w:sz w:val="20"/>
                <w:szCs w:val="20"/>
              </w:rPr>
              <w:t xml:space="preserve"> (GPAP)</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Developed by</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b/>
                <w:sz w:val="20"/>
                <w:szCs w:val="20"/>
              </w:rPr>
              <w:t>IUCN GREEN LIST OF PROTECTED AND CONSERVED AREAS: STANDARDS WORKING GROUP</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Subject (Taxonomy)</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Protected Areas; Conservation Outcomes; Voluntary Sustainability Standard; Protected Planet; Management Effectiveness; Assurance; Aichi Target 11.</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Date approved</w:t>
            </w:r>
          </w:p>
        </w:tc>
        <w:tc>
          <w:tcPr>
            <w:tcW w:w="5934" w:type="dxa"/>
            <w:shd w:val="clear" w:color="auto" w:fill="auto"/>
          </w:tcPr>
          <w:p w:rsidR="00872C28" w:rsidRPr="00DF0897" w:rsidRDefault="00DF0897" w:rsidP="00CC4C9B">
            <w:pPr>
              <w:spacing w:before="60" w:after="60"/>
              <w:rPr>
                <w:rFonts w:ascii="Arial" w:hAnsi="Arial" w:cs="Arial"/>
              </w:rPr>
            </w:pPr>
            <w:r>
              <w:rPr>
                <w:rFonts w:ascii="Arial" w:eastAsia="Arial" w:hAnsi="Arial" w:cs="Arial"/>
                <w:sz w:val="20"/>
                <w:szCs w:val="20"/>
              </w:rPr>
              <w:t>Approval for use in GLPCA Development Phase 1</w:t>
            </w:r>
            <w:r w:rsidRPr="00DF0897">
              <w:rPr>
                <w:rFonts w:ascii="Arial" w:eastAsia="Arial" w:hAnsi="Arial" w:cs="Arial"/>
                <w:sz w:val="20"/>
                <w:szCs w:val="20"/>
                <w:vertAlign w:val="superscript"/>
              </w:rPr>
              <w:t>st</w:t>
            </w:r>
            <w:r>
              <w:rPr>
                <w:rFonts w:ascii="Arial" w:eastAsia="Arial" w:hAnsi="Arial" w:cs="Arial"/>
                <w:sz w:val="20"/>
                <w:szCs w:val="20"/>
              </w:rPr>
              <w:t xml:space="preserve"> September 2016 </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 xml:space="preserve">Approved by </w:t>
            </w:r>
          </w:p>
        </w:tc>
        <w:tc>
          <w:tcPr>
            <w:tcW w:w="5934" w:type="dxa"/>
            <w:shd w:val="clear" w:color="auto" w:fill="auto"/>
          </w:tcPr>
          <w:p w:rsidR="00DF0897" w:rsidRPr="00DF0897" w:rsidRDefault="00DF0897" w:rsidP="00DF0897">
            <w:pPr>
              <w:spacing w:before="60" w:after="60"/>
              <w:rPr>
                <w:rFonts w:ascii="Arial" w:hAnsi="Arial" w:cs="Arial"/>
              </w:rPr>
            </w:pPr>
            <w:r>
              <w:rPr>
                <w:rFonts w:ascii="Arial" w:eastAsia="Arial" w:hAnsi="Arial" w:cs="Arial"/>
                <w:sz w:val="20"/>
                <w:szCs w:val="20"/>
              </w:rPr>
              <w:t>Approval for use in GLPCA Development Phase granted by Chair, IUCN World Commission on Protected Areas</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Applicable to</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IUCN Green List of Protected and Conserved Areas (GLPCA)</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Objective</w:t>
            </w:r>
          </w:p>
        </w:tc>
        <w:tc>
          <w:tcPr>
            <w:tcW w:w="5934" w:type="dxa"/>
            <w:shd w:val="clear" w:color="auto" w:fill="auto"/>
          </w:tcPr>
          <w:p w:rsidR="00872C28" w:rsidRPr="00CE73E6" w:rsidRDefault="00CE73E6" w:rsidP="00CC4C9B">
            <w:pPr>
              <w:spacing w:before="60" w:after="60"/>
              <w:rPr>
                <w:rFonts w:ascii="Arial" w:hAnsi="Arial" w:cs="Arial"/>
                <w:sz w:val="20"/>
                <w:szCs w:val="20"/>
              </w:rPr>
            </w:pPr>
            <w:r w:rsidRPr="00CE73E6">
              <w:rPr>
                <w:rFonts w:ascii="Arial" w:eastAsia="Arial" w:hAnsi="Arial" w:cs="Arial"/>
                <w:b/>
                <w:i/>
                <w:sz w:val="20"/>
                <w:szCs w:val="20"/>
              </w:rPr>
              <w:t>To encourage protected and conserved areas to measure, improve and maintain their performance through globally consistent criteria that benchmark good governance, sound design and planning, effective management, and successful conservation outcomes</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Is part of</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IUCN GREEN LIST OF PROTECTED AND CONSERVED AREAS (GLPCA) PROGRAMME</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Conforms to</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ISEAL Code of Best Practice for Sustainability Standards</w:t>
            </w:r>
          </w:p>
          <w:p w:rsidR="00872C28" w:rsidRPr="00872C28" w:rsidRDefault="00872C28" w:rsidP="00CC4C9B">
            <w:pPr>
              <w:spacing w:before="60" w:after="60"/>
              <w:rPr>
                <w:rFonts w:ascii="Arial" w:hAnsi="Arial" w:cs="Arial"/>
              </w:rPr>
            </w:pPr>
            <w:r w:rsidRPr="00872C28">
              <w:rPr>
                <w:rFonts w:ascii="Arial" w:eastAsia="Arial" w:hAnsi="Arial" w:cs="Arial"/>
                <w:sz w:val="20"/>
                <w:szCs w:val="20"/>
              </w:rPr>
              <w:t>IUCN GLPCA Manual (Standards Development Procedure)</w:t>
            </w:r>
          </w:p>
          <w:p w:rsidR="00872C28" w:rsidRPr="00872C28" w:rsidRDefault="00872C28" w:rsidP="00CC4C9B">
            <w:pPr>
              <w:spacing w:before="60" w:after="60"/>
              <w:rPr>
                <w:rFonts w:ascii="Arial" w:hAnsi="Arial" w:cs="Arial"/>
              </w:rPr>
            </w:pPr>
            <w:r w:rsidRPr="00872C28">
              <w:rPr>
                <w:rFonts w:ascii="Arial" w:eastAsia="Arial" w:hAnsi="Arial" w:cs="Arial"/>
                <w:sz w:val="20"/>
                <w:szCs w:val="20"/>
              </w:rPr>
              <w:t>IUCN Environmental and Social Management System (ESMS)</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Related Documents</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IUCN GLPCA Manual</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Distribution</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IUCN COMPASS; IUCN Union Portal and IUCN website</w:t>
            </w:r>
          </w:p>
          <w:p w:rsidR="00872C28" w:rsidRPr="00872C28" w:rsidRDefault="00872C28" w:rsidP="00CC4C9B">
            <w:pPr>
              <w:spacing w:before="60" w:after="60"/>
              <w:rPr>
                <w:rFonts w:ascii="Arial" w:hAnsi="Arial" w:cs="Arial"/>
              </w:rPr>
            </w:pPr>
            <w:r w:rsidRPr="00872C28">
              <w:rPr>
                <w:rFonts w:ascii="Arial" w:eastAsia="Arial" w:hAnsi="Arial" w:cs="Arial"/>
                <w:sz w:val="20"/>
                <w:szCs w:val="20"/>
              </w:rPr>
              <w:t>‘Protected Planet’ portal (UNEP-WCMC)</w:t>
            </w:r>
          </w:p>
        </w:tc>
      </w:tr>
      <w:tr w:rsidR="00872C28" w:rsidRPr="00872C28" w:rsidTr="005843D7">
        <w:tc>
          <w:tcPr>
            <w:tcW w:w="3652" w:type="dxa"/>
            <w:gridSpan w:val="3"/>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DOCUMENT HISTORY</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b/>
                <w:sz w:val="20"/>
                <w:szCs w:val="20"/>
              </w:rPr>
              <w:t>CURRENT VERSION 1.0</w:t>
            </w:r>
          </w:p>
        </w:tc>
      </w:tr>
      <w:tr w:rsidR="00872C28" w:rsidRPr="00872C28" w:rsidTr="005843D7">
        <w:tc>
          <w:tcPr>
            <w:tcW w:w="1668" w:type="dxa"/>
            <w:gridSpan w:val="2"/>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b/>
                <w:sz w:val="20"/>
                <w:szCs w:val="20"/>
              </w:rPr>
              <w:t xml:space="preserve">Version </w:t>
            </w:r>
          </w:p>
        </w:tc>
        <w:tc>
          <w:tcPr>
            <w:tcW w:w="198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b/>
                <w:sz w:val="20"/>
                <w:szCs w:val="20"/>
              </w:rPr>
              <w:t xml:space="preserve">Release date </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b/>
                <w:sz w:val="20"/>
                <w:szCs w:val="20"/>
              </w:rPr>
              <w:t xml:space="preserve">Summary of changes </w:t>
            </w:r>
          </w:p>
        </w:tc>
      </w:tr>
      <w:tr w:rsidR="00872C28" w:rsidRPr="00872C28" w:rsidTr="005843D7">
        <w:tc>
          <w:tcPr>
            <w:tcW w:w="1668" w:type="dxa"/>
            <w:gridSpan w:val="2"/>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Version 0.1</w:t>
            </w:r>
          </w:p>
        </w:tc>
        <w:tc>
          <w:tcPr>
            <w:tcW w:w="198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Released in September 2012</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 xml:space="preserve">Presented for feedback at IUCN World Conservation Congress 2012, </w:t>
            </w:r>
            <w:proofErr w:type="spellStart"/>
            <w:r w:rsidRPr="00872C28">
              <w:rPr>
                <w:rFonts w:ascii="Arial" w:eastAsia="Arial" w:hAnsi="Arial" w:cs="Arial"/>
                <w:sz w:val="20"/>
                <w:szCs w:val="20"/>
              </w:rPr>
              <w:t>Jeju</w:t>
            </w:r>
            <w:proofErr w:type="spellEnd"/>
            <w:r w:rsidRPr="00872C28">
              <w:rPr>
                <w:rFonts w:ascii="Arial" w:eastAsia="Arial" w:hAnsi="Arial" w:cs="Arial"/>
                <w:sz w:val="20"/>
                <w:szCs w:val="20"/>
              </w:rPr>
              <w:t>, Korea.</w:t>
            </w:r>
          </w:p>
        </w:tc>
      </w:tr>
      <w:tr w:rsidR="00872C28" w:rsidRPr="00872C28" w:rsidTr="005843D7">
        <w:tc>
          <w:tcPr>
            <w:tcW w:w="1668" w:type="dxa"/>
            <w:gridSpan w:val="2"/>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Version 0.2</w:t>
            </w:r>
          </w:p>
        </w:tc>
        <w:tc>
          <w:tcPr>
            <w:tcW w:w="198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Released in June 2014</w:t>
            </w:r>
          </w:p>
        </w:tc>
        <w:tc>
          <w:tcPr>
            <w:tcW w:w="593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Major adjustments to align with ISEAL Alliance Credibility Principles Expert Workshop (June 2014) to refine content. Version adopted for 2014 Pilot Phase.</w:t>
            </w:r>
          </w:p>
        </w:tc>
      </w:tr>
      <w:tr w:rsidR="00872C28" w:rsidRPr="006D097A" w:rsidTr="005843D7">
        <w:tc>
          <w:tcPr>
            <w:tcW w:w="1668" w:type="dxa"/>
            <w:gridSpan w:val="2"/>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Version 0.3</w:t>
            </w:r>
          </w:p>
        </w:tc>
        <w:tc>
          <w:tcPr>
            <w:tcW w:w="1984" w:type="dxa"/>
            <w:shd w:val="clear" w:color="auto" w:fill="auto"/>
          </w:tcPr>
          <w:p w:rsidR="00872C28" w:rsidRPr="00872C28" w:rsidRDefault="00872C28" w:rsidP="00CC4C9B">
            <w:pPr>
              <w:spacing w:before="60" w:after="60"/>
              <w:rPr>
                <w:rFonts w:ascii="Arial" w:hAnsi="Arial" w:cs="Arial"/>
              </w:rPr>
            </w:pPr>
            <w:r w:rsidRPr="00872C28">
              <w:rPr>
                <w:rFonts w:ascii="Arial" w:eastAsia="Arial" w:hAnsi="Arial" w:cs="Arial"/>
                <w:sz w:val="20"/>
                <w:szCs w:val="20"/>
              </w:rPr>
              <w:t>Released in September 2015</w:t>
            </w:r>
          </w:p>
        </w:tc>
        <w:tc>
          <w:tcPr>
            <w:tcW w:w="5934" w:type="dxa"/>
            <w:shd w:val="clear" w:color="auto" w:fill="auto"/>
          </w:tcPr>
          <w:p w:rsidR="00872C28" w:rsidRPr="00B42B0A" w:rsidRDefault="00872C28" w:rsidP="00CC4C9B">
            <w:pPr>
              <w:spacing w:before="60" w:after="60"/>
              <w:rPr>
                <w:rFonts w:ascii="Arial" w:hAnsi="Arial" w:cs="Arial"/>
              </w:rPr>
            </w:pPr>
            <w:r w:rsidRPr="00872C28">
              <w:rPr>
                <w:rFonts w:ascii="Arial" w:eastAsia="Arial" w:hAnsi="Arial" w:cs="Arial"/>
                <w:sz w:val="20"/>
                <w:szCs w:val="20"/>
              </w:rPr>
              <w:t>Global Consultation version, including minor adjustments based on feedback from evaluation of Pilot Phase (2014) and World Parks Congress feedback (Nov. 2014). Expert evaluation of comments received on this version form basis for adjustments in current revision 1.0</w:t>
            </w:r>
          </w:p>
        </w:tc>
      </w:tr>
    </w:tbl>
    <w:p w:rsidR="00872C28" w:rsidRDefault="00872C28" w:rsidP="00872C28">
      <w:pPr>
        <w:spacing w:before="60" w:after="60"/>
        <w:rPr>
          <w:rFonts w:ascii="Arial" w:eastAsia="Arial" w:hAnsi="Arial" w:cs="Arial"/>
          <w:color w:val="0000FF"/>
          <w:sz w:val="20"/>
          <w:szCs w:val="20"/>
          <w:u w:val="single"/>
        </w:rPr>
      </w:pPr>
      <w:r w:rsidRPr="006D097A">
        <w:rPr>
          <w:rFonts w:ascii="Arial" w:eastAsia="Arial" w:hAnsi="Arial" w:cs="Arial"/>
          <w:sz w:val="20"/>
          <w:szCs w:val="20"/>
        </w:rPr>
        <w:t xml:space="preserve">For further information contact: </w:t>
      </w:r>
      <w:hyperlink r:id="rId9">
        <w:r w:rsidRPr="006D097A">
          <w:rPr>
            <w:rFonts w:ascii="Arial" w:eastAsia="Arial" w:hAnsi="Arial" w:cs="Arial"/>
            <w:color w:val="0000FF"/>
            <w:sz w:val="20"/>
            <w:szCs w:val="20"/>
            <w:u w:val="single"/>
          </w:rPr>
          <w:t>glpca@iucn.org</w:t>
        </w:r>
      </w:hyperlink>
    </w:p>
    <w:p w:rsidR="00872C28" w:rsidRDefault="00872C28" w:rsidP="00295556">
      <w:pPr>
        <w:spacing w:after="0" w:line="240" w:lineRule="auto"/>
        <w:rPr>
          <w:rFonts w:ascii="Arial" w:hAnsi="Arial" w:cs="Arial"/>
        </w:rPr>
      </w:pPr>
    </w:p>
    <w:p w:rsidR="00872C28" w:rsidRPr="006D097A" w:rsidRDefault="00872C28" w:rsidP="00872C28">
      <w:pPr>
        <w:pStyle w:val="Heading3"/>
        <w:rPr>
          <w:rFonts w:ascii="Arial" w:hAnsi="Arial" w:cs="Arial"/>
        </w:rPr>
      </w:pPr>
      <w:r w:rsidRPr="006D097A">
        <w:rPr>
          <w:rFonts w:ascii="Arial" w:hAnsi="Arial" w:cs="Arial"/>
          <w:sz w:val="24"/>
          <w:szCs w:val="24"/>
        </w:rPr>
        <w:t>INTRODUCTION</w:t>
      </w:r>
    </w:p>
    <w:p w:rsidR="00872C28" w:rsidRPr="00E7551B" w:rsidRDefault="00872C28" w:rsidP="00872C28">
      <w:pPr>
        <w:rPr>
          <w:rFonts w:ascii="Arial" w:hAnsi="Arial" w:cs="Arial"/>
        </w:rPr>
      </w:pPr>
      <w:r w:rsidRPr="006D097A">
        <w:rPr>
          <w:rFonts w:ascii="Arial" w:eastAsia="Arial" w:hAnsi="Arial" w:cs="Arial"/>
        </w:rPr>
        <w:t>Protected areas are a universal approach to nature conservation, present in all countries, for both land and sea. Conserving nature is essential for the future of humanity by securing the persistence of natural diversity that supports human life. Well-governed, well-designed and well-managed protected areas are our most effective tool for conserving nature, and provide a wide range of ecological, socio-economic, cultural and s</w:t>
      </w:r>
      <w:r>
        <w:rPr>
          <w:rFonts w:ascii="Arial" w:eastAsia="Arial" w:hAnsi="Arial" w:cs="Arial"/>
        </w:rPr>
        <w:t>piritual benefits.</w:t>
      </w:r>
    </w:p>
    <w:p w:rsidR="00872C28" w:rsidRPr="0015003F" w:rsidRDefault="00872C28" w:rsidP="00872C28">
      <w:pPr>
        <w:rPr>
          <w:rFonts w:ascii="Arial" w:eastAsia="Arial" w:hAnsi="Arial" w:cs="Arial"/>
        </w:rPr>
      </w:pPr>
      <w:r w:rsidRPr="006D097A">
        <w:rPr>
          <w:rFonts w:ascii="Arial" w:eastAsia="Arial" w:hAnsi="Arial" w:cs="Arial"/>
        </w:rPr>
        <w:t>The IUCN Green List of Protected and Conserved Areas (GLPCA) Programme aims to encourage, achieve</w:t>
      </w:r>
      <w:r>
        <w:rPr>
          <w:rFonts w:ascii="Arial" w:eastAsia="Arial" w:hAnsi="Arial" w:cs="Arial"/>
        </w:rPr>
        <w:t>,</w:t>
      </w:r>
      <w:r w:rsidRPr="006D097A">
        <w:rPr>
          <w:rFonts w:ascii="Arial" w:eastAsia="Arial" w:hAnsi="Arial" w:cs="Arial"/>
        </w:rPr>
        <w:t xml:space="preserve"> and promote effective, equitable and successful protected areas in all partner countries and jurisdictions. </w:t>
      </w:r>
      <w:r w:rsidRPr="00130BCD">
        <w:rPr>
          <w:rFonts w:ascii="Arial" w:hAnsi="Arial" w:cs="Arial"/>
          <w:lang w:val="en-GB" w:eastAsia="en-US"/>
        </w:rPr>
        <w:t xml:space="preserve">The overarching objective of the GLPCA programme is to </w:t>
      </w:r>
      <w:r w:rsidRPr="00130BCD">
        <w:rPr>
          <w:rFonts w:ascii="Arial" w:hAnsi="Arial" w:cs="Arial"/>
          <w:b/>
          <w:lang w:val="en-GB" w:eastAsia="en-US"/>
        </w:rPr>
        <w:t xml:space="preserve">increase the </w:t>
      </w:r>
      <w:r>
        <w:rPr>
          <w:rFonts w:ascii="Arial" w:hAnsi="Arial" w:cs="Arial"/>
          <w:b/>
          <w:lang w:val="en-GB" w:eastAsia="en-US"/>
        </w:rPr>
        <w:t>number</w:t>
      </w:r>
      <w:r w:rsidR="00CE73E6">
        <w:rPr>
          <w:rFonts w:ascii="Arial" w:hAnsi="Arial" w:cs="Arial"/>
          <w:b/>
          <w:lang w:val="en-GB" w:eastAsia="en-US"/>
        </w:rPr>
        <w:t xml:space="preserve"> of protected and conserved a</w:t>
      </w:r>
      <w:r w:rsidRPr="00130BCD">
        <w:rPr>
          <w:rFonts w:ascii="Arial" w:hAnsi="Arial" w:cs="Arial"/>
          <w:b/>
          <w:lang w:val="en-GB" w:eastAsia="en-US"/>
        </w:rPr>
        <w:t>reas that are effectively and equitably managed</w:t>
      </w:r>
      <w:r>
        <w:rPr>
          <w:rFonts w:ascii="Arial" w:hAnsi="Arial" w:cs="Arial"/>
          <w:b/>
          <w:lang w:val="en-GB" w:eastAsia="en-US"/>
        </w:rPr>
        <w:t xml:space="preserve"> and deliver conservation outcomes</w:t>
      </w:r>
      <w:r w:rsidRPr="00130BCD">
        <w:rPr>
          <w:rFonts w:ascii="Arial" w:hAnsi="Arial" w:cs="Arial"/>
          <w:b/>
          <w:lang w:val="en-GB" w:eastAsia="en-US"/>
        </w:rPr>
        <w:t>.</w:t>
      </w:r>
      <w:r w:rsidRPr="00130BCD">
        <w:rPr>
          <w:rFonts w:ascii="Arial" w:hAnsi="Arial" w:cs="Arial"/>
          <w:lang w:val="en-GB" w:eastAsia="en-US"/>
        </w:rPr>
        <w:t xml:space="preserve"> This high-level objective will be reached through a set of underlying objectives:</w:t>
      </w:r>
    </w:p>
    <w:p w:rsidR="00872C28" w:rsidRPr="00130BCD" w:rsidRDefault="00872C28" w:rsidP="00872C28">
      <w:pPr>
        <w:pStyle w:val="ListParagraph"/>
        <w:numPr>
          <w:ilvl w:val="0"/>
          <w:numId w:val="1"/>
        </w:numPr>
        <w:shd w:val="clear" w:color="auto" w:fill="FFFFFF"/>
        <w:spacing w:after="120" w:line="240" w:lineRule="auto"/>
        <w:contextualSpacing w:val="0"/>
        <w:rPr>
          <w:rFonts w:ascii="Arial" w:hAnsi="Arial" w:cs="Arial"/>
          <w:color w:val="222222"/>
          <w:lang w:val="en-GB" w:eastAsia="en-GB"/>
        </w:rPr>
      </w:pPr>
      <w:r w:rsidRPr="00130BCD">
        <w:rPr>
          <w:rFonts w:ascii="Arial" w:hAnsi="Arial" w:cs="Arial"/>
          <w:color w:val="222222"/>
          <w:lang w:val="en-GB" w:eastAsia="en-GB"/>
        </w:rPr>
        <w:t>To ensure that the GLPCA Standard provides a suitable measure for strengthening conservation outcomes and improving equitable and effective managem</w:t>
      </w:r>
      <w:r w:rsidR="00CE73E6">
        <w:rPr>
          <w:rFonts w:ascii="Arial" w:hAnsi="Arial" w:cs="Arial"/>
          <w:color w:val="222222"/>
          <w:lang w:val="en-GB" w:eastAsia="en-GB"/>
        </w:rPr>
        <w:t>ent of p</w:t>
      </w:r>
      <w:r w:rsidRPr="00130BCD">
        <w:rPr>
          <w:rFonts w:ascii="Arial" w:hAnsi="Arial" w:cs="Arial"/>
          <w:color w:val="222222"/>
          <w:lang w:val="en-GB" w:eastAsia="en-GB"/>
        </w:rPr>
        <w:t xml:space="preserve">rotected and </w:t>
      </w:r>
      <w:r w:rsidR="00CE73E6">
        <w:rPr>
          <w:rFonts w:ascii="Arial" w:hAnsi="Arial" w:cs="Arial"/>
          <w:color w:val="222222"/>
          <w:lang w:val="en-GB" w:eastAsia="en-GB"/>
        </w:rPr>
        <w:t>conserved a</w:t>
      </w:r>
      <w:r w:rsidRPr="00130BCD">
        <w:rPr>
          <w:rFonts w:ascii="Arial" w:hAnsi="Arial" w:cs="Arial"/>
          <w:color w:val="222222"/>
          <w:lang w:val="en-GB" w:eastAsia="en-GB"/>
        </w:rPr>
        <w:t>reas</w:t>
      </w:r>
    </w:p>
    <w:p w:rsidR="00872C28" w:rsidRDefault="00872C28" w:rsidP="00872C28">
      <w:pPr>
        <w:pStyle w:val="ListParagraph"/>
        <w:numPr>
          <w:ilvl w:val="0"/>
          <w:numId w:val="1"/>
        </w:numPr>
        <w:shd w:val="clear" w:color="auto" w:fill="FFFFFF"/>
        <w:spacing w:after="120" w:line="240" w:lineRule="auto"/>
        <w:contextualSpacing w:val="0"/>
        <w:rPr>
          <w:rFonts w:ascii="Arial" w:hAnsi="Arial" w:cs="Arial"/>
          <w:color w:val="222222"/>
          <w:lang w:val="en-GB" w:eastAsia="en-GB"/>
        </w:rPr>
      </w:pPr>
      <w:r w:rsidRPr="00130BCD">
        <w:rPr>
          <w:rFonts w:ascii="Arial" w:hAnsi="Arial" w:cs="Arial"/>
          <w:color w:val="222222"/>
          <w:lang w:val="en-GB" w:eastAsia="en-GB"/>
        </w:rPr>
        <w:t>To position the GLPCA programme as an accessible channel for conserv</w:t>
      </w:r>
      <w:r w:rsidR="00CE73E6">
        <w:rPr>
          <w:rFonts w:ascii="Arial" w:hAnsi="Arial" w:cs="Arial"/>
          <w:color w:val="222222"/>
          <w:lang w:val="en-GB" w:eastAsia="en-GB"/>
        </w:rPr>
        <w:t>ation capacity-development for protected and conserved a</w:t>
      </w:r>
      <w:r w:rsidRPr="00130BCD">
        <w:rPr>
          <w:rFonts w:ascii="Arial" w:hAnsi="Arial" w:cs="Arial"/>
          <w:color w:val="222222"/>
          <w:lang w:val="en-GB" w:eastAsia="en-GB"/>
        </w:rPr>
        <w:t>reas</w:t>
      </w:r>
    </w:p>
    <w:p w:rsidR="00872C28" w:rsidRPr="0015003F" w:rsidRDefault="00872C28" w:rsidP="00872C28">
      <w:pPr>
        <w:pStyle w:val="ListParagraph"/>
        <w:numPr>
          <w:ilvl w:val="0"/>
          <w:numId w:val="1"/>
        </w:numPr>
        <w:shd w:val="clear" w:color="auto" w:fill="FFFFFF"/>
        <w:spacing w:after="120" w:line="240" w:lineRule="auto"/>
        <w:contextualSpacing w:val="0"/>
        <w:rPr>
          <w:rFonts w:ascii="Arial" w:hAnsi="Arial" w:cs="Arial"/>
          <w:color w:val="222222"/>
          <w:lang w:val="en-GB" w:eastAsia="en-GB"/>
        </w:rPr>
      </w:pPr>
      <w:r w:rsidRPr="0015003F">
        <w:rPr>
          <w:rFonts w:ascii="Arial" w:hAnsi="Arial" w:cs="Arial"/>
          <w:color w:val="222222"/>
          <w:lang w:val="en-GB" w:eastAsia="en-GB"/>
        </w:rPr>
        <w:t>To promote collaboration and investment in implementing effective and equitable conservati</w:t>
      </w:r>
      <w:r w:rsidR="00CE73E6">
        <w:rPr>
          <w:rFonts w:ascii="Arial" w:hAnsi="Arial" w:cs="Arial"/>
          <w:color w:val="222222"/>
          <w:lang w:val="en-GB" w:eastAsia="en-GB"/>
        </w:rPr>
        <w:t>on management in protected and c</w:t>
      </w:r>
      <w:r w:rsidRPr="0015003F">
        <w:rPr>
          <w:rFonts w:ascii="Arial" w:hAnsi="Arial" w:cs="Arial"/>
          <w:color w:val="222222"/>
          <w:lang w:val="en-GB" w:eastAsia="en-GB"/>
        </w:rPr>
        <w:t xml:space="preserve">onserved </w:t>
      </w:r>
      <w:r w:rsidR="00CE73E6">
        <w:rPr>
          <w:rFonts w:ascii="Arial" w:hAnsi="Arial" w:cs="Arial"/>
          <w:color w:val="222222"/>
          <w:lang w:val="en-GB" w:eastAsia="en-GB"/>
        </w:rPr>
        <w:t>a</w:t>
      </w:r>
      <w:r w:rsidRPr="0015003F">
        <w:rPr>
          <w:rFonts w:ascii="Arial" w:hAnsi="Arial" w:cs="Arial"/>
          <w:color w:val="222222"/>
          <w:lang w:val="en-GB" w:eastAsia="en-GB"/>
        </w:rPr>
        <w:t>reas committed to the GLPCA Standard.</w:t>
      </w:r>
    </w:p>
    <w:p w:rsidR="00872C28" w:rsidRPr="006D097A" w:rsidRDefault="00872C28" w:rsidP="00872C28">
      <w:pPr>
        <w:rPr>
          <w:rFonts w:ascii="Arial" w:hAnsi="Arial" w:cs="Arial"/>
        </w:rPr>
      </w:pPr>
      <w:r w:rsidRPr="006D097A">
        <w:rPr>
          <w:rFonts w:ascii="Arial" w:eastAsia="Arial" w:hAnsi="Arial" w:cs="Arial"/>
        </w:rPr>
        <w:t xml:space="preserve">At the heart of the IUCN GLPCA Programme is </w:t>
      </w:r>
      <w:r>
        <w:rPr>
          <w:rFonts w:ascii="Arial" w:eastAsia="Arial" w:hAnsi="Arial" w:cs="Arial"/>
        </w:rPr>
        <w:t>the</w:t>
      </w:r>
      <w:r w:rsidRPr="006D097A">
        <w:rPr>
          <w:rFonts w:ascii="Arial" w:eastAsia="Arial" w:hAnsi="Arial" w:cs="Arial"/>
        </w:rPr>
        <w:t xml:space="preserve"> Global Standard. It describes a set of </w:t>
      </w:r>
      <w:r>
        <w:rPr>
          <w:rFonts w:ascii="Arial" w:eastAsia="Arial" w:hAnsi="Arial" w:cs="Arial"/>
        </w:rPr>
        <w:t>COMPONENTS, CRITERIA AND INDICATORS</w:t>
      </w:r>
      <w:r w:rsidRPr="006D097A">
        <w:rPr>
          <w:rFonts w:ascii="Arial" w:eastAsia="Arial" w:hAnsi="Arial" w:cs="Arial"/>
        </w:rPr>
        <w:t xml:space="preserve"> </w:t>
      </w:r>
      <w:r w:rsidR="00CE73E6">
        <w:rPr>
          <w:rFonts w:ascii="Arial" w:eastAsia="Arial" w:hAnsi="Arial" w:cs="Arial"/>
        </w:rPr>
        <w:t>for successful conservation in protected a</w:t>
      </w:r>
      <w:r w:rsidRPr="006D097A">
        <w:rPr>
          <w:rFonts w:ascii="Arial" w:eastAsia="Arial" w:hAnsi="Arial" w:cs="Arial"/>
        </w:rPr>
        <w:t>reas and thereby provides an international benchmark for quality that motivates improved performance and achievement of conservation objectives. By committing to meet this standard, site managers seek to demonstrate and maintain performance and deliver real nature conservation results. The objective of the Global Standard is:</w:t>
      </w:r>
    </w:p>
    <w:p w:rsidR="00872C28" w:rsidRPr="006D097A" w:rsidRDefault="00CE73E6" w:rsidP="00872C28">
      <w:pPr>
        <w:rPr>
          <w:rFonts w:ascii="Arial" w:hAnsi="Arial" w:cs="Arial"/>
        </w:rPr>
      </w:pPr>
      <w:r>
        <w:rPr>
          <w:rFonts w:ascii="Arial" w:eastAsia="Arial" w:hAnsi="Arial" w:cs="Arial"/>
          <w:b/>
          <w:i/>
        </w:rPr>
        <w:t>To encourage p</w:t>
      </w:r>
      <w:r w:rsidR="00872C28" w:rsidRPr="006D097A">
        <w:rPr>
          <w:rFonts w:ascii="Arial" w:eastAsia="Arial" w:hAnsi="Arial" w:cs="Arial"/>
          <w:b/>
          <w:i/>
        </w:rPr>
        <w:t xml:space="preserve">rotected </w:t>
      </w:r>
      <w:r>
        <w:rPr>
          <w:rFonts w:ascii="Arial" w:eastAsia="Arial" w:hAnsi="Arial" w:cs="Arial"/>
          <w:b/>
          <w:i/>
        </w:rPr>
        <w:t>and conserved a</w:t>
      </w:r>
      <w:r w:rsidR="00872C28" w:rsidRPr="006D097A">
        <w:rPr>
          <w:rFonts w:ascii="Arial" w:eastAsia="Arial" w:hAnsi="Arial" w:cs="Arial"/>
          <w:b/>
          <w:i/>
        </w:rPr>
        <w:t xml:space="preserve">reas to measure, improve and maintain their performance through globally consistent criteria that benchmark good governance, sound design and planning, effective management, and successful conservation outcomes. </w:t>
      </w:r>
    </w:p>
    <w:p w:rsidR="00872C28" w:rsidRPr="006D097A" w:rsidRDefault="00872C28" w:rsidP="00872C28">
      <w:pPr>
        <w:pStyle w:val="Heading3"/>
        <w:rPr>
          <w:rFonts w:ascii="Arial" w:hAnsi="Arial" w:cs="Arial"/>
        </w:rPr>
      </w:pPr>
      <w:r w:rsidRPr="006D097A">
        <w:rPr>
          <w:rFonts w:ascii="Arial" w:hAnsi="Arial" w:cs="Arial"/>
          <w:sz w:val="24"/>
          <w:szCs w:val="24"/>
        </w:rPr>
        <w:t>THE IUCN GLPCA DEVELOPMENT PHASE 2016 to 2018</w:t>
      </w:r>
    </w:p>
    <w:p w:rsidR="00872C28" w:rsidRDefault="00872C28" w:rsidP="00872C28">
      <w:pPr>
        <w:rPr>
          <w:rFonts w:ascii="Arial" w:eastAsia="Arial" w:hAnsi="Arial" w:cs="Arial"/>
        </w:rPr>
      </w:pPr>
      <w:r w:rsidRPr="006D097A">
        <w:rPr>
          <w:rFonts w:ascii="Arial" w:eastAsia="Arial" w:hAnsi="Arial" w:cs="Arial"/>
        </w:rPr>
        <w:t xml:space="preserve">IUCN began </w:t>
      </w:r>
      <w:r w:rsidR="00FB2C6B">
        <w:rPr>
          <w:rFonts w:ascii="Arial" w:eastAsia="Arial" w:hAnsi="Arial" w:cs="Arial"/>
        </w:rPr>
        <w:t>to shape the</w:t>
      </w:r>
      <w:r w:rsidRPr="006D097A">
        <w:rPr>
          <w:rFonts w:ascii="Arial" w:eastAsia="Arial" w:hAnsi="Arial" w:cs="Arial"/>
        </w:rPr>
        <w:t xml:space="preserve"> concept for a Green List of Pr</w:t>
      </w:r>
      <w:r w:rsidR="005369D2">
        <w:rPr>
          <w:rFonts w:ascii="Arial" w:eastAsia="Arial" w:hAnsi="Arial" w:cs="Arial"/>
        </w:rPr>
        <w:t xml:space="preserve">otected Areas in 2008. In 2012 an </w:t>
      </w:r>
      <w:r w:rsidRPr="006D097A">
        <w:rPr>
          <w:rFonts w:ascii="Arial" w:eastAsia="Arial" w:hAnsi="Arial" w:cs="Arial"/>
        </w:rPr>
        <w:t xml:space="preserve">IUCN Resolution </w:t>
      </w:r>
      <w:r w:rsidR="005369D2">
        <w:rPr>
          <w:rFonts w:ascii="Arial" w:eastAsia="Arial" w:hAnsi="Arial" w:cs="Arial"/>
        </w:rPr>
        <w:t>(</w:t>
      </w:r>
      <w:r w:rsidRPr="006D097A">
        <w:rPr>
          <w:rFonts w:ascii="Arial" w:eastAsia="Arial" w:hAnsi="Arial" w:cs="Arial"/>
        </w:rPr>
        <w:t>WCC 2012-Res-041-EN</w:t>
      </w:r>
      <w:r w:rsidR="005369D2">
        <w:rPr>
          <w:rFonts w:ascii="Arial" w:eastAsia="Arial" w:hAnsi="Arial" w:cs="Arial"/>
        </w:rPr>
        <w:t>)</w:t>
      </w:r>
      <w:r w:rsidRPr="006D097A">
        <w:rPr>
          <w:rFonts w:ascii="Arial" w:eastAsia="Arial" w:hAnsi="Arial" w:cs="Arial"/>
        </w:rPr>
        <w:t xml:space="preserve"> called for the development of objective criteria for ‘Green Listing’. The IUCN World Commission on Protected Areas (WCPA) and IUCN’s Global Protected Areas Programme accordingly convened a global development and consultation process to create and t</w:t>
      </w:r>
      <w:r w:rsidR="005369D2">
        <w:rPr>
          <w:rFonts w:ascii="Arial" w:eastAsia="Arial" w:hAnsi="Arial" w:cs="Arial"/>
        </w:rPr>
        <w:t>est a new Standard for protected a</w:t>
      </w:r>
      <w:r w:rsidRPr="006D097A">
        <w:rPr>
          <w:rFonts w:ascii="Arial" w:eastAsia="Arial" w:hAnsi="Arial" w:cs="Arial"/>
        </w:rPr>
        <w:t>reas.</w:t>
      </w:r>
      <w:r>
        <w:rPr>
          <w:rFonts w:ascii="Arial" w:eastAsia="Arial" w:hAnsi="Arial" w:cs="Arial"/>
        </w:rPr>
        <w:t xml:space="preserve"> </w:t>
      </w:r>
      <w:r w:rsidRPr="006D097A">
        <w:rPr>
          <w:rFonts w:ascii="Arial" w:eastAsia="Arial" w:hAnsi="Arial" w:cs="Arial"/>
        </w:rPr>
        <w:t>A pilot phase in eight jurisdictions was undertaken with results presented at the IUCN World Parks Congress, Sydney</w:t>
      </w:r>
      <w:r w:rsidR="005369D2">
        <w:rPr>
          <w:rFonts w:ascii="Arial" w:eastAsia="Arial" w:hAnsi="Arial" w:cs="Arial"/>
        </w:rPr>
        <w:t>, November 2014. A total of 25 protected and conserved a</w:t>
      </w:r>
      <w:r w:rsidRPr="006D097A">
        <w:rPr>
          <w:rFonts w:ascii="Arial" w:eastAsia="Arial" w:hAnsi="Arial" w:cs="Arial"/>
        </w:rPr>
        <w:t xml:space="preserve">reas received a ‘Green List’ certificate for their achievements. </w:t>
      </w:r>
    </w:p>
    <w:p w:rsidR="00872C28" w:rsidRDefault="00872C28" w:rsidP="00872C28">
      <w:pPr>
        <w:rPr>
          <w:rFonts w:ascii="Arial" w:eastAsia="Arial" w:hAnsi="Arial" w:cs="Arial"/>
        </w:rPr>
      </w:pPr>
      <w:r w:rsidRPr="006D097A">
        <w:rPr>
          <w:rFonts w:ascii="Arial" w:eastAsia="Arial" w:hAnsi="Arial" w:cs="Arial"/>
        </w:rPr>
        <w:t>In the</w:t>
      </w:r>
      <w:r w:rsidR="00E92EB0">
        <w:rPr>
          <w:rFonts w:ascii="Arial" w:eastAsia="Arial" w:hAnsi="Arial" w:cs="Arial"/>
        </w:rPr>
        <w:t xml:space="preserve"> current Development Phase, 2015 </w:t>
      </w:r>
      <w:r w:rsidRPr="006D097A">
        <w:rPr>
          <w:rFonts w:ascii="Arial" w:eastAsia="Arial" w:hAnsi="Arial" w:cs="Arial"/>
        </w:rPr>
        <w:t>to 201</w:t>
      </w:r>
      <w:r w:rsidR="00E92EB0">
        <w:rPr>
          <w:rFonts w:ascii="Arial" w:eastAsia="Arial" w:hAnsi="Arial" w:cs="Arial"/>
        </w:rPr>
        <w:t>9</w:t>
      </w:r>
      <w:r w:rsidRPr="006D097A">
        <w:rPr>
          <w:rFonts w:ascii="Arial" w:eastAsia="Arial" w:hAnsi="Arial" w:cs="Arial"/>
        </w:rPr>
        <w:t xml:space="preserve">, </w:t>
      </w:r>
      <w:r w:rsidR="00FB2C6B">
        <w:rPr>
          <w:rFonts w:ascii="Arial" w:eastAsia="Arial" w:hAnsi="Arial" w:cs="Arial"/>
        </w:rPr>
        <w:t xml:space="preserve">these </w:t>
      </w:r>
      <w:r w:rsidR="005369D2">
        <w:rPr>
          <w:rFonts w:ascii="Arial" w:eastAsia="Arial" w:hAnsi="Arial" w:cs="Arial"/>
        </w:rPr>
        <w:t>sites</w:t>
      </w:r>
      <w:r w:rsidRPr="006D097A">
        <w:rPr>
          <w:rFonts w:ascii="Arial" w:eastAsia="Arial" w:hAnsi="Arial" w:cs="Arial"/>
        </w:rPr>
        <w:t xml:space="preserve"> must demonstrate how they have maintained performance and meet the revised Standard. In addition, a new set of </w:t>
      </w:r>
      <w:r w:rsidRPr="006D097A">
        <w:rPr>
          <w:rFonts w:ascii="Arial" w:eastAsia="Arial" w:hAnsi="Arial" w:cs="Arial"/>
        </w:rPr>
        <w:lastRenderedPageBreak/>
        <w:t xml:space="preserve">protected </w:t>
      </w:r>
      <w:r w:rsidR="005369D2">
        <w:rPr>
          <w:rFonts w:ascii="Arial" w:eastAsia="Arial" w:hAnsi="Arial" w:cs="Arial"/>
        </w:rPr>
        <w:t xml:space="preserve">and conserved </w:t>
      </w:r>
      <w:r w:rsidRPr="006D097A">
        <w:rPr>
          <w:rFonts w:ascii="Arial" w:eastAsia="Arial" w:hAnsi="Arial" w:cs="Arial"/>
        </w:rPr>
        <w:t xml:space="preserve">areas from a partnership of </w:t>
      </w:r>
      <w:r>
        <w:rPr>
          <w:rFonts w:ascii="Arial" w:eastAsia="Arial" w:hAnsi="Arial" w:cs="Arial"/>
        </w:rPr>
        <w:t xml:space="preserve">at least </w:t>
      </w:r>
      <w:r w:rsidRPr="006D097A">
        <w:rPr>
          <w:rFonts w:ascii="Arial" w:eastAsia="Arial" w:hAnsi="Arial" w:cs="Arial"/>
        </w:rPr>
        <w:t>20 jurisdictions will engage in the GLPCA Programme.</w:t>
      </w:r>
    </w:p>
    <w:p w:rsidR="00872C28" w:rsidRPr="006D097A" w:rsidRDefault="00FB2C6B" w:rsidP="00872C28">
      <w:pPr>
        <w:pStyle w:val="Heading3"/>
        <w:rPr>
          <w:rFonts w:ascii="Arial" w:hAnsi="Arial" w:cs="Arial"/>
        </w:rPr>
      </w:pPr>
      <w:r>
        <w:rPr>
          <w:rFonts w:ascii="Arial" w:hAnsi="Arial" w:cs="Arial"/>
          <w:sz w:val="24"/>
          <w:szCs w:val="24"/>
        </w:rPr>
        <w:t xml:space="preserve">INTERNATIONAL </w:t>
      </w:r>
      <w:r w:rsidR="00872C28" w:rsidRPr="006D097A">
        <w:rPr>
          <w:rFonts w:ascii="Arial" w:hAnsi="Arial" w:cs="Arial"/>
          <w:sz w:val="24"/>
          <w:szCs w:val="24"/>
        </w:rPr>
        <w:t>CODE FOR SUSTAINABILITY STANDARDS</w:t>
      </w:r>
    </w:p>
    <w:p w:rsidR="00872C28" w:rsidRPr="006D097A" w:rsidRDefault="00872C28" w:rsidP="00872C28">
      <w:pPr>
        <w:rPr>
          <w:rFonts w:ascii="Arial" w:hAnsi="Arial" w:cs="Arial"/>
        </w:rPr>
      </w:pPr>
      <w:r w:rsidRPr="006D097A">
        <w:rPr>
          <w:rFonts w:ascii="Arial" w:eastAsia="Arial" w:hAnsi="Arial" w:cs="Arial"/>
        </w:rPr>
        <w:t xml:space="preserve">IUCN is committed to align the development of the GLPCA Programme to the </w:t>
      </w:r>
      <w:r>
        <w:rPr>
          <w:rFonts w:ascii="Arial" w:eastAsia="Arial" w:hAnsi="Arial" w:cs="Arial"/>
        </w:rPr>
        <w:t>ISEAL</w:t>
      </w:r>
      <w:r w:rsidRPr="006D097A">
        <w:rPr>
          <w:rFonts w:ascii="Arial" w:eastAsia="Arial" w:hAnsi="Arial" w:cs="Arial"/>
        </w:rPr>
        <w:t xml:space="preserve"> Code of Best Practice </w:t>
      </w:r>
      <w:r>
        <w:rPr>
          <w:rFonts w:ascii="Arial" w:eastAsia="Arial" w:hAnsi="Arial" w:cs="Arial"/>
        </w:rPr>
        <w:t>for</w:t>
      </w:r>
      <w:r w:rsidRPr="006D097A">
        <w:rPr>
          <w:rFonts w:ascii="Arial" w:eastAsia="Arial" w:hAnsi="Arial" w:cs="Arial"/>
        </w:rPr>
        <w:t xml:space="preserve"> Setting</w:t>
      </w:r>
      <w:r>
        <w:rPr>
          <w:rFonts w:ascii="Arial" w:eastAsia="Arial" w:hAnsi="Arial" w:cs="Arial"/>
        </w:rPr>
        <w:t xml:space="preserve"> Social and Environmental Standards</w:t>
      </w:r>
      <w:r w:rsidRPr="006D097A">
        <w:rPr>
          <w:rFonts w:ascii="Arial" w:eastAsia="Arial" w:hAnsi="Arial" w:cs="Arial"/>
        </w:rPr>
        <w:t xml:space="preserve"> </w:t>
      </w:r>
      <w:hyperlink r:id="rId10">
        <w:r w:rsidRPr="006D097A">
          <w:rPr>
            <w:rFonts w:ascii="Arial" w:eastAsia="Arial" w:hAnsi="Arial" w:cs="Arial"/>
            <w:color w:val="0000FF"/>
            <w:u w:val="single"/>
          </w:rPr>
          <w:t>http://www.isealalliance.org/our-work/defining-credibility/codes-of-good-practice/standard-setting-code</w:t>
        </w:r>
      </w:hyperlink>
      <w:r w:rsidRPr="006D097A">
        <w:rPr>
          <w:rFonts w:ascii="Arial" w:eastAsia="Arial" w:hAnsi="Arial" w:cs="Arial"/>
        </w:rPr>
        <w:t>. The IUCN GLPCA is seeking to comply with IS</w:t>
      </w:r>
      <w:r w:rsidR="00E92EB0">
        <w:rPr>
          <w:rFonts w:ascii="Arial" w:eastAsia="Arial" w:hAnsi="Arial" w:cs="Arial"/>
        </w:rPr>
        <w:t>EAL requirements by 2019</w:t>
      </w:r>
      <w:r w:rsidRPr="006D097A">
        <w:rPr>
          <w:rFonts w:ascii="Arial" w:eastAsia="Arial" w:hAnsi="Arial" w:cs="Arial"/>
        </w:rPr>
        <w:t>.</w:t>
      </w:r>
    </w:p>
    <w:p w:rsidR="00872C28" w:rsidRDefault="00872C28" w:rsidP="00872C28">
      <w:pPr>
        <w:rPr>
          <w:rFonts w:ascii="Arial" w:eastAsia="Arial" w:hAnsi="Arial" w:cs="Arial"/>
        </w:rPr>
      </w:pPr>
      <w:r w:rsidRPr="006D097A">
        <w:rPr>
          <w:rFonts w:ascii="Arial" w:eastAsia="Arial" w:hAnsi="Arial" w:cs="Arial"/>
        </w:rPr>
        <w:t>T</w:t>
      </w:r>
      <w:r>
        <w:rPr>
          <w:rFonts w:ascii="Arial" w:eastAsia="Arial" w:hAnsi="Arial" w:cs="Arial"/>
        </w:rPr>
        <w:t>his Version 1.0 of the Standard</w:t>
      </w:r>
      <w:r w:rsidRPr="006D097A">
        <w:rPr>
          <w:rFonts w:ascii="Arial" w:eastAsia="Arial" w:hAnsi="Arial" w:cs="Arial"/>
        </w:rPr>
        <w:t xml:space="preserve"> is informed by the lessons learned from the evaluation of the pilot phase in 2014. Following ISEAL guidelines, a global public consultation opportunity provided valuable stakeholder feedback in 2015. The Standard is supported by an Assurance Procedure and </w:t>
      </w:r>
      <w:r>
        <w:rPr>
          <w:rFonts w:ascii="Arial" w:eastAsia="Arial" w:hAnsi="Arial" w:cs="Arial"/>
        </w:rPr>
        <w:t>rules</w:t>
      </w:r>
      <w:r w:rsidRPr="006D097A">
        <w:rPr>
          <w:rFonts w:ascii="Arial" w:eastAsia="Arial" w:hAnsi="Arial" w:cs="Arial"/>
        </w:rPr>
        <w:t xml:space="preserve">, as documented in the accompanying IUCN GLPCA </w:t>
      </w:r>
      <w:r>
        <w:rPr>
          <w:rFonts w:ascii="Arial" w:eastAsia="Arial" w:hAnsi="Arial" w:cs="Arial"/>
        </w:rPr>
        <w:t xml:space="preserve">User </w:t>
      </w:r>
      <w:r w:rsidRPr="006D097A">
        <w:rPr>
          <w:rFonts w:ascii="Arial" w:eastAsia="Arial" w:hAnsi="Arial" w:cs="Arial"/>
        </w:rPr>
        <w:t xml:space="preserve">Manual. The GLPCA </w:t>
      </w:r>
      <w:r>
        <w:rPr>
          <w:rFonts w:ascii="Arial" w:eastAsia="Arial" w:hAnsi="Arial" w:cs="Arial"/>
        </w:rPr>
        <w:t xml:space="preserve">User </w:t>
      </w:r>
      <w:r w:rsidRPr="006D097A">
        <w:rPr>
          <w:rFonts w:ascii="Arial" w:eastAsia="Arial" w:hAnsi="Arial" w:cs="Arial"/>
        </w:rPr>
        <w:t>Manual describes the objectives of the overall IUCN GLPCA Pr</w:t>
      </w:r>
      <w:r>
        <w:rPr>
          <w:rFonts w:ascii="Arial" w:eastAsia="Arial" w:hAnsi="Arial" w:cs="Arial"/>
        </w:rPr>
        <w:t>ogramme</w:t>
      </w:r>
      <w:r w:rsidRPr="006D097A">
        <w:rPr>
          <w:rFonts w:ascii="Arial" w:eastAsia="Arial" w:hAnsi="Arial" w:cs="Arial"/>
        </w:rPr>
        <w:t>. It provides the framework for implementation of the Programme globally, and on a jurisdictional basis.</w:t>
      </w:r>
    </w:p>
    <w:p w:rsidR="00872C28" w:rsidRPr="006D097A" w:rsidRDefault="00872C28" w:rsidP="00872C28">
      <w:pPr>
        <w:pStyle w:val="Heading3"/>
        <w:rPr>
          <w:rFonts w:ascii="Arial" w:hAnsi="Arial" w:cs="Arial"/>
        </w:rPr>
      </w:pPr>
      <w:r w:rsidRPr="006D097A">
        <w:rPr>
          <w:rFonts w:ascii="Arial" w:hAnsi="Arial" w:cs="Arial"/>
          <w:sz w:val="24"/>
          <w:szCs w:val="24"/>
        </w:rPr>
        <w:t>THE IUCN GLPCA GLOBAL STANDARD</w:t>
      </w:r>
    </w:p>
    <w:p w:rsidR="00E92EB0" w:rsidRDefault="00872C28" w:rsidP="00872C28">
      <w:pPr>
        <w:rPr>
          <w:rFonts w:ascii="Arial" w:eastAsia="Arial" w:hAnsi="Arial" w:cs="Arial"/>
        </w:rPr>
      </w:pPr>
      <w:r w:rsidRPr="006D097A">
        <w:rPr>
          <w:rFonts w:ascii="Arial" w:eastAsia="Arial" w:hAnsi="Arial" w:cs="Arial"/>
        </w:rPr>
        <w:t xml:space="preserve">The IUCN GLPCA Global Standard is organized into four components </w:t>
      </w:r>
      <w:r w:rsidR="00E92EB0">
        <w:rPr>
          <w:rFonts w:ascii="Arial" w:eastAsia="Arial" w:hAnsi="Arial" w:cs="Arial"/>
        </w:rPr>
        <w:t>of</w:t>
      </w:r>
      <w:r w:rsidRPr="006D097A">
        <w:rPr>
          <w:rFonts w:ascii="Arial" w:eastAsia="Arial" w:hAnsi="Arial" w:cs="Arial"/>
        </w:rPr>
        <w:t xml:space="preserve"> successful nature c</w:t>
      </w:r>
      <w:r w:rsidR="00E92EB0">
        <w:rPr>
          <w:rFonts w:ascii="Arial" w:eastAsia="Arial" w:hAnsi="Arial" w:cs="Arial"/>
        </w:rPr>
        <w:t>onservation in protected and conserved areas</w:t>
      </w:r>
      <w:r w:rsidRPr="006D097A">
        <w:rPr>
          <w:rFonts w:ascii="Arial" w:eastAsia="Arial" w:hAnsi="Arial" w:cs="Arial"/>
        </w:rPr>
        <w:t>. The baseline components concern</w:t>
      </w:r>
      <w:r w:rsidR="00E92EB0">
        <w:rPr>
          <w:rFonts w:ascii="Arial" w:eastAsia="Arial" w:hAnsi="Arial" w:cs="Arial"/>
        </w:rPr>
        <w:t>:</w:t>
      </w:r>
    </w:p>
    <w:p w:rsidR="00E92EB0" w:rsidRPr="00E92EB0" w:rsidRDefault="00E92EB0" w:rsidP="00E92EB0">
      <w:pPr>
        <w:pStyle w:val="ListParagraph"/>
        <w:numPr>
          <w:ilvl w:val="0"/>
          <w:numId w:val="39"/>
        </w:numPr>
        <w:rPr>
          <w:rFonts w:ascii="Arial" w:eastAsia="Arial" w:hAnsi="Arial" w:cs="Arial"/>
        </w:rPr>
      </w:pPr>
      <w:r>
        <w:rPr>
          <w:rFonts w:ascii="Arial" w:eastAsia="Arial" w:hAnsi="Arial" w:cs="Arial"/>
          <w:b/>
        </w:rPr>
        <w:t>Good Governance</w:t>
      </w:r>
    </w:p>
    <w:p w:rsidR="00E92EB0" w:rsidRPr="00E92EB0" w:rsidRDefault="00872C28" w:rsidP="00E92EB0">
      <w:pPr>
        <w:pStyle w:val="ListParagraph"/>
        <w:numPr>
          <w:ilvl w:val="0"/>
          <w:numId w:val="39"/>
        </w:numPr>
        <w:rPr>
          <w:rFonts w:ascii="Arial" w:eastAsia="Arial" w:hAnsi="Arial" w:cs="Arial"/>
        </w:rPr>
      </w:pPr>
      <w:r w:rsidRPr="00E92EB0">
        <w:rPr>
          <w:rFonts w:ascii="Arial" w:eastAsia="Arial" w:hAnsi="Arial" w:cs="Arial"/>
          <w:b/>
        </w:rPr>
        <w:t>Sound Design and Planning</w:t>
      </w:r>
      <w:r w:rsidR="00E92EB0">
        <w:rPr>
          <w:rFonts w:ascii="Arial" w:eastAsia="Arial" w:hAnsi="Arial" w:cs="Arial"/>
          <w:b/>
        </w:rPr>
        <w:t>;</w:t>
      </w:r>
      <w:r w:rsidRPr="00E92EB0">
        <w:rPr>
          <w:rFonts w:ascii="Arial" w:eastAsia="Arial" w:hAnsi="Arial" w:cs="Arial"/>
          <w:b/>
        </w:rPr>
        <w:t xml:space="preserve"> </w:t>
      </w:r>
      <w:r w:rsidRPr="00E92EB0">
        <w:rPr>
          <w:rFonts w:ascii="Arial" w:eastAsia="Arial" w:hAnsi="Arial" w:cs="Arial"/>
        </w:rPr>
        <w:t xml:space="preserve">and </w:t>
      </w:r>
    </w:p>
    <w:p w:rsidR="00E92EB0" w:rsidRPr="00E92EB0" w:rsidRDefault="00E92EB0" w:rsidP="00E92EB0">
      <w:pPr>
        <w:pStyle w:val="ListParagraph"/>
        <w:numPr>
          <w:ilvl w:val="0"/>
          <w:numId w:val="39"/>
        </w:numPr>
        <w:rPr>
          <w:rFonts w:ascii="Arial" w:eastAsia="Arial" w:hAnsi="Arial" w:cs="Arial"/>
        </w:rPr>
      </w:pPr>
      <w:r>
        <w:rPr>
          <w:rFonts w:ascii="Arial" w:eastAsia="Arial" w:hAnsi="Arial" w:cs="Arial"/>
          <w:b/>
        </w:rPr>
        <w:t>Effective Management</w:t>
      </w:r>
    </w:p>
    <w:p w:rsidR="00872C28" w:rsidRPr="00E92EB0" w:rsidRDefault="00E92EB0" w:rsidP="00E92EB0">
      <w:pPr>
        <w:rPr>
          <w:rFonts w:ascii="Arial" w:eastAsia="Arial" w:hAnsi="Arial" w:cs="Arial"/>
        </w:rPr>
      </w:pPr>
      <w:r>
        <w:rPr>
          <w:rFonts w:ascii="Arial" w:eastAsia="Arial" w:hAnsi="Arial" w:cs="Arial"/>
        </w:rPr>
        <w:t>Together, t</w:t>
      </w:r>
      <w:r w:rsidR="00872C28" w:rsidRPr="00E92EB0">
        <w:rPr>
          <w:rFonts w:ascii="Arial" w:eastAsia="Arial" w:hAnsi="Arial" w:cs="Arial"/>
        </w:rPr>
        <w:t>hese support the component on</w:t>
      </w:r>
      <w:r>
        <w:rPr>
          <w:rFonts w:ascii="Arial" w:eastAsia="Arial" w:hAnsi="Arial" w:cs="Arial"/>
          <w:b/>
        </w:rPr>
        <w:t xml:space="preserve"> </w:t>
      </w:r>
      <w:r w:rsidR="00872C28" w:rsidRPr="00E92EB0">
        <w:rPr>
          <w:rFonts w:ascii="Arial" w:eastAsia="Arial" w:hAnsi="Arial" w:cs="Arial"/>
          <w:b/>
        </w:rPr>
        <w:t>S</w:t>
      </w:r>
      <w:r>
        <w:rPr>
          <w:rFonts w:ascii="Arial" w:eastAsia="Arial" w:hAnsi="Arial" w:cs="Arial"/>
          <w:b/>
        </w:rPr>
        <w:t>uccessful Conservation Outcomes</w:t>
      </w:r>
      <w:r w:rsidR="00872C28" w:rsidRPr="00E92EB0">
        <w:rPr>
          <w:rFonts w:ascii="Arial" w:eastAsia="Arial" w:hAnsi="Arial" w:cs="Arial"/>
          <w:b/>
        </w:rPr>
        <w:t xml:space="preserve"> </w:t>
      </w:r>
      <w:r w:rsidR="00872C28" w:rsidRPr="00E92EB0">
        <w:rPr>
          <w:rFonts w:ascii="Arial" w:eastAsia="Arial" w:hAnsi="Arial" w:cs="Arial"/>
        </w:rPr>
        <w:t>attesting to the successful achievement of an area’s goals and objectives. Each component has a set of criteria and each criterion has a set of indicators to measure achievement.</w:t>
      </w:r>
    </w:p>
    <w:p w:rsidR="00872C28" w:rsidRPr="006D097A" w:rsidRDefault="00872C28" w:rsidP="00872C28">
      <w:pPr>
        <w:pStyle w:val="Heading3"/>
        <w:rPr>
          <w:rFonts w:ascii="Arial" w:hAnsi="Arial" w:cs="Arial"/>
        </w:rPr>
      </w:pPr>
      <w:r w:rsidRPr="006D097A">
        <w:rPr>
          <w:rFonts w:ascii="Arial" w:hAnsi="Arial" w:cs="Arial"/>
          <w:sz w:val="24"/>
          <w:szCs w:val="24"/>
        </w:rPr>
        <w:t>GLOBALLY CONSISTENT; LOCALLY RELEVANT</w:t>
      </w:r>
    </w:p>
    <w:p w:rsidR="00872C28" w:rsidRPr="00E92EB0" w:rsidRDefault="00872C28" w:rsidP="00872C28">
      <w:pPr>
        <w:rPr>
          <w:rFonts w:ascii="Arial" w:eastAsia="Arial" w:hAnsi="Arial" w:cs="Arial"/>
        </w:rPr>
      </w:pPr>
      <w:r>
        <w:rPr>
          <w:rFonts w:ascii="Arial" w:eastAsia="Arial" w:hAnsi="Arial" w:cs="Arial"/>
        </w:rPr>
        <w:t xml:space="preserve">The Criteria </w:t>
      </w:r>
      <w:r w:rsidRPr="006D097A">
        <w:rPr>
          <w:rFonts w:ascii="Arial" w:eastAsia="Arial" w:hAnsi="Arial" w:cs="Arial"/>
        </w:rPr>
        <w:t>are globally consistent requirements that collectively describe the efforts need</w:t>
      </w:r>
      <w:r w:rsidR="00E92EB0">
        <w:rPr>
          <w:rFonts w:ascii="Arial" w:eastAsia="Arial" w:hAnsi="Arial" w:cs="Arial"/>
        </w:rPr>
        <w:t>ed</w:t>
      </w:r>
      <w:r>
        <w:rPr>
          <w:rFonts w:ascii="Arial" w:eastAsia="Arial" w:hAnsi="Arial" w:cs="Arial"/>
        </w:rPr>
        <w:t xml:space="preserve"> </w:t>
      </w:r>
      <w:r w:rsidRPr="006D097A">
        <w:rPr>
          <w:rFonts w:ascii="Arial" w:eastAsia="Arial" w:hAnsi="Arial" w:cs="Arial"/>
        </w:rPr>
        <w:t xml:space="preserve">to fully achieve the Global Standard. A ‘Green List’ </w:t>
      </w:r>
      <w:r w:rsidR="00E92EB0">
        <w:rPr>
          <w:rFonts w:ascii="Arial" w:eastAsia="Arial" w:hAnsi="Arial" w:cs="Arial"/>
        </w:rPr>
        <w:t>site</w:t>
      </w:r>
      <w:r w:rsidRPr="006D097A">
        <w:rPr>
          <w:rFonts w:ascii="Arial" w:eastAsia="Arial" w:hAnsi="Arial" w:cs="Arial"/>
        </w:rPr>
        <w:t xml:space="preserve"> is one that is currently evaluated to achieve </w:t>
      </w:r>
      <w:r w:rsidRPr="006D097A">
        <w:rPr>
          <w:rFonts w:ascii="Arial" w:eastAsia="Arial" w:hAnsi="Arial" w:cs="Arial"/>
          <w:i/>
        </w:rPr>
        <w:t>all</w:t>
      </w:r>
      <w:r w:rsidRPr="006D097A">
        <w:rPr>
          <w:rFonts w:ascii="Arial" w:eastAsia="Arial" w:hAnsi="Arial" w:cs="Arial"/>
        </w:rPr>
        <w:t xml:space="preserve"> criteria, across all four components.</w:t>
      </w:r>
      <w:r>
        <w:rPr>
          <w:rFonts w:ascii="Arial" w:eastAsia="Arial" w:hAnsi="Arial" w:cs="Arial"/>
        </w:rPr>
        <w:t xml:space="preserve"> </w:t>
      </w:r>
      <w:r w:rsidRPr="006D097A">
        <w:rPr>
          <w:rFonts w:ascii="Arial" w:eastAsia="Arial" w:hAnsi="Arial" w:cs="Arial"/>
        </w:rPr>
        <w:t>The Global Standard is implemented through a jurisdictional approach, tailored to each country or reg</w:t>
      </w:r>
      <w:r w:rsidR="00E92EB0">
        <w:rPr>
          <w:rFonts w:ascii="Arial" w:eastAsia="Arial" w:hAnsi="Arial" w:cs="Arial"/>
        </w:rPr>
        <w:t xml:space="preserve">ion where the GLPCA is adopted. </w:t>
      </w:r>
      <w:r w:rsidRPr="006D097A">
        <w:rPr>
          <w:rFonts w:ascii="Arial" w:eastAsia="Arial" w:hAnsi="Arial" w:cs="Arial"/>
        </w:rPr>
        <w:t>The Programme allows for flexibilit</w:t>
      </w:r>
      <w:r w:rsidR="00E92EB0">
        <w:rPr>
          <w:rFonts w:ascii="Arial" w:eastAsia="Arial" w:hAnsi="Arial" w:cs="Arial"/>
        </w:rPr>
        <w:t>y for each jurisdiction</w:t>
      </w:r>
      <w:r w:rsidRPr="006D097A">
        <w:rPr>
          <w:rFonts w:ascii="Arial" w:eastAsia="Arial" w:hAnsi="Arial" w:cs="Arial"/>
        </w:rPr>
        <w:t xml:space="preserve"> </w:t>
      </w:r>
      <w:r w:rsidR="00E92EB0">
        <w:rPr>
          <w:rFonts w:ascii="Arial" w:eastAsia="Arial" w:hAnsi="Arial" w:cs="Arial"/>
        </w:rPr>
        <w:t xml:space="preserve">to implement the Global Standard. </w:t>
      </w:r>
      <w:r w:rsidRPr="006D097A">
        <w:rPr>
          <w:rFonts w:ascii="Arial" w:eastAsia="Arial" w:hAnsi="Arial" w:cs="Arial"/>
        </w:rPr>
        <w:t xml:space="preserve">For each criterion in the Global Standard, a set of </w:t>
      </w:r>
      <w:r>
        <w:rPr>
          <w:rFonts w:ascii="Arial" w:eastAsia="Arial" w:hAnsi="Arial" w:cs="Arial"/>
        </w:rPr>
        <w:t>G</w:t>
      </w:r>
      <w:r w:rsidRPr="006D097A">
        <w:rPr>
          <w:rFonts w:ascii="Arial" w:eastAsia="Arial" w:hAnsi="Arial" w:cs="Arial"/>
        </w:rPr>
        <w:t xml:space="preserve">eneric </w:t>
      </w:r>
      <w:r>
        <w:rPr>
          <w:rFonts w:ascii="Arial" w:eastAsia="Arial" w:hAnsi="Arial" w:cs="Arial"/>
        </w:rPr>
        <w:t>I</w:t>
      </w:r>
      <w:r w:rsidRPr="006D097A">
        <w:rPr>
          <w:rFonts w:ascii="Arial" w:eastAsia="Arial" w:hAnsi="Arial" w:cs="Arial"/>
        </w:rPr>
        <w:t xml:space="preserve">ndicators and associated Means of Verification is maintained by IUCN. These generic indicators may be adapted to the context of each participating jurisdiction, to allow for </w:t>
      </w:r>
      <w:r>
        <w:rPr>
          <w:rFonts w:ascii="Arial" w:eastAsia="Arial" w:hAnsi="Arial" w:cs="Arial"/>
        </w:rPr>
        <w:t xml:space="preserve">reflection of </w:t>
      </w:r>
      <w:r w:rsidRPr="006D097A">
        <w:rPr>
          <w:rFonts w:ascii="Arial" w:eastAsia="Arial" w:hAnsi="Arial" w:cs="Arial"/>
        </w:rPr>
        <w:t>regional and local characterist</w:t>
      </w:r>
      <w:r w:rsidR="00E92EB0">
        <w:rPr>
          <w:rFonts w:ascii="Arial" w:eastAsia="Arial" w:hAnsi="Arial" w:cs="Arial"/>
        </w:rPr>
        <w:t>ics and circumstances in which p</w:t>
      </w:r>
      <w:r w:rsidRPr="006D097A">
        <w:rPr>
          <w:rFonts w:ascii="Arial" w:eastAsia="Arial" w:hAnsi="Arial" w:cs="Arial"/>
        </w:rPr>
        <w:t xml:space="preserve">rotected </w:t>
      </w:r>
      <w:r w:rsidR="00E92EB0">
        <w:rPr>
          <w:rFonts w:ascii="Arial" w:eastAsia="Arial" w:hAnsi="Arial" w:cs="Arial"/>
        </w:rPr>
        <w:t>and conserved a</w:t>
      </w:r>
      <w:r w:rsidRPr="006D097A">
        <w:rPr>
          <w:rFonts w:ascii="Arial" w:eastAsia="Arial" w:hAnsi="Arial" w:cs="Arial"/>
        </w:rPr>
        <w:t xml:space="preserve">reas operate. The guidance </w:t>
      </w:r>
      <w:r w:rsidR="00E92EB0">
        <w:rPr>
          <w:rFonts w:ascii="Arial" w:eastAsia="Arial" w:hAnsi="Arial" w:cs="Arial"/>
        </w:rPr>
        <w:t>for this process is</w:t>
      </w:r>
      <w:r w:rsidRPr="006D097A">
        <w:rPr>
          <w:rFonts w:ascii="Arial" w:eastAsia="Arial" w:hAnsi="Arial" w:cs="Arial"/>
        </w:rPr>
        <w:t xml:space="preserve"> detailed in the</w:t>
      </w:r>
      <w:r>
        <w:rPr>
          <w:rFonts w:ascii="Arial" w:eastAsia="Arial" w:hAnsi="Arial" w:cs="Arial"/>
        </w:rPr>
        <w:t xml:space="preserve"> accompanying</w:t>
      </w:r>
      <w:r w:rsidRPr="006D097A">
        <w:rPr>
          <w:rFonts w:ascii="Arial" w:eastAsia="Arial" w:hAnsi="Arial" w:cs="Arial"/>
        </w:rPr>
        <w:t xml:space="preserve"> IUCN GLPCA </w:t>
      </w:r>
      <w:r>
        <w:rPr>
          <w:rFonts w:ascii="Arial" w:eastAsia="Arial" w:hAnsi="Arial" w:cs="Arial"/>
        </w:rPr>
        <w:t xml:space="preserve">User </w:t>
      </w:r>
      <w:r w:rsidRPr="006D097A">
        <w:rPr>
          <w:rFonts w:ascii="Arial" w:eastAsia="Arial" w:hAnsi="Arial" w:cs="Arial"/>
        </w:rPr>
        <w:t>Manual.</w:t>
      </w:r>
    </w:p>
    <w:p w:rsidR="00872C28" w:rsidRPr="006D097A" w:rsidRDefault="00872C28" w:rsidP="00872C28">
      <w:pPr>
        <w:pStyle w:val="Heading3"/>
        <w:rPr>
          <w:rFonts w:ascii="Arial" w:hAnsi="Arial" w:cs="Arial"/>
        </w:rPr>
      </w:pPr>
      <w:r w:rsidRPr="006D097A">
        <w:rPr>
          <w:rFonts w:ascii="Arial" w:hAnsi="Arial" w:cs="Arial"/>
          <w:sz w:val="24"/>
          <w:szCs w:val="24"/>
        </w:rPr>
        <w:t>ASSURANCE AND EVALUATION</w:t>
      </w:r>
    </w:p>
    <w:p w:rsidR="00872C28" w:rsidRDefault="00872C28" w:rsidP="00872C28">
      <w:pPr>
        <w:rPr>
          <w:rFonts w:ascii="Arial" w:eastAsia="Arial" w:hAnsi="Arial" w:cs="Arial"/>
        </w:rPr>
      </w:pPr>
      <w:r w:rsidRPr="006D097A">
        <w:rPr>
          <w:rFonts w:ascii="Arial" w:eastAsia="Arial" w:hAnsi="Arial" w:cs="Arial"/>
        </w:rPr>
        <w:t xml:space="preserve">The IUCN GLPCA Programme assures that ‘Green List’ </w:t>
      </w:r>
      <w:r w:rsidR="00E92EB0">
        <w:rPr>
          <w:rFonts w:ascii="Arial" w:eastAsia="Arial" w:hAnsi="Arial" w:cs="Arial"/>
        </w:rPr>
        <w:t>sites</w:t>
      </w:r>
      <w:r w:rsidRPr="006D097A">
        <w:rPr>
          <w:rFonts w:ascii="Arial" w:eastAsia="Arial" w:hAnsi="Arial" w:cs="Arial"/>
        </w:rPr>
        <w:t xml:space="preserve"> are effectively and equitably managed, and achieving </w:t>
      </w:r>
      <w:r>
        <w:rPr>
          <w:rFonts w:ascii="Arial" w:eastAsia="Arial" w:hAnsi="Arial" w:cs="Arial"/>
        </w:rPr>
        <w:t>successful conservation of their values</w:t>
      </w:r>
      <w:r w:rsidRPr="006D097A">
        <w:rPr>
          <w:rFonts w:ascii="Arial" w:eastAsia="Arial" w:hAnsi="Arial" w:cs="Arial"/>
        </w:rPr>
        <w:t>. A global partnersh</w:t>
      </w:r>
      <w:r>
        <w:rPr>
          <w:rFonts w:ascii="Arial" w:eastAsia="Arial" w:hAnsi="Arial" w:cs="Arial"/>
        </w:rPr>
        <w:t>ip with Accreditation Services I</w:t>
      </w:r>
      <w:r w:rsidRPr="006D097A">
        <w:rPr>
          <w:rFonts w:ascii="Arial" w:eastAsia="Arial" w:hAnsi="Arial" w:cs="Arial"/>
        </w:rPr>
        <w:t xml:space="preserve">nternational (ASI) provides the GLPCA </w:t>
      </w:r>
      <w:r>
        <w:rPr>
          <w:rFonts w:ascii="Arial" w:eastAsia="Arial" w:hAnsi="Arial" w:cs="Arial"/>
        </w:rPr>
        <w:t>with a proven Oversight Body tasked with assurance of the GLPCA Programme. The a</w:t>
      </w:r>
      <w:r w:rsidRPr="006D097A">
        <w:rPr>
          <w:rFonts w:ascii="Arial" w:eastAsia="Arial" w:hAnsi="Arial" w:cs="Arial"/>
        </w:rPr>
        <w:t xml:space="preserve">ssurance mechanisms and procedures </w:t>
      </w:r>
      <w:r>
        <w:rPr>
          <w:rFonts w:ascii="Arial" w:eastAsia="Arial" w:hAnsi="Arial" w:cs="Arial"/>
        </w:rPr>
        <w:t xml:space="preserve">in place </w:t>
      </w:r>
      <w:r w:rsidRPr="006D097A">
        <w:rPr>
          <w:rFonts w:ascii="Arial" w:eastAsia="Arial" w:hAnsi="Arial" w:cs="Arial"/>
        </w:rPr>
        <w:t>ensure independence and credibility of decision-making.</w:t>
      </w:r>
      <w:r>
        <w:rPr>
          <w:rFonts w:ascii="Arial" w:eastAsia="Arial" w:hAnsi="Arial" w:cs="Arial"/>
        </w:rPr>
        <w:t xml:space="preserve"> </w:t>
      </w:r>
      <w:r w:rsidR="006E2B60">
        <w:rPr>
          <w:rFonts w:ascii="Arial" w:eastAsia="Arial" w:hAnsi="Arial" w:cs="Arial"/>
        </w:rPr>
        <w:t>Participation by</w:t>
      </w:r>
      <w:r w:rsidRPr="006D097A">
        <w:rPr>
          <w:rFonts w:ascii="Arial" w:eastAsia="Arial" w:hAnsi="Arial" w:cs="Arial"/>
        </w:rPr>
        <w:t xml:space="preserve"> individual protected areas, conserved areas, and their governing agencies is entirely voluntary, through commitment to</w:t>
      </w:r>
      <w:r w:rsidR="006E2B60">
        <w:rPr>
          <w:rFonts w:ascii="Arial" w:eastAsia="Arial" w:hAnsi="Arial" w:cs="Arial"/>
        </w:rPr>
        <w:t xml:space="preserve"> promote continuous improvement through the GLPCA</w:t>
      </w:r>
      <w:r w:rsidRPr="006D097A">
        <w:rPr>
          <w:rFonts w:ascii="Arial" w:eastAsia="Arial" w:hAnsi="Arial" w:cs="Arial"/>
        </w:rPr>
        <w:t>.</w:t>
      </w:r>
    </w:p>
    <w:p w:rsidR="00872C28" w:rsidRPr="006D097A" w:rsidRDefault="00872C28" w:rsidP="00872C28">
      <w:pPr>
        <w:pStyle w:val="Heading3"/>
        <w:rPr>
          <w:rFonts w:ascii="Arial" w:hAnsi="Arial" w:cs="Arial"/>
        </w:rPr>
      </w:pPr>
      <w:r w:rsidRPr="006D097A">
        <w:rPr>
          <w:rFonts w:ascii="Arial" w:hAnsi="Arial" w:cs="Arial"/>
          <w:sz w:val="24"/>
          <w:szCs w:val="24"/>
        </w:rPr>
        <w:lastRenderedPageBreak/>
        <w:t xml:space="preserve">‘GREEN LIST’ STATUS FOR PROTECTED </w:t>
      </w:r>
      <w:r w:rsidR="006E2B60">
        <w:rPr>
          <w:rFonts w:ascii="Arial" w:hAnsi="Arial" w:cs="Arial"/>
          <w:sz w:val="24"/>
          <w:szCs w:val="24"/>
        </w:rPr>
        <w:t xml:space="preserve">AND CONSERVED </w:t>
      </w:r>
      <w:r w:rsidRPr="006D097A">
        <w:rPr>
          <w:rFonts w:ascii="Arial" w:hAnsi="Arial" w:cs="Arial"/>
          <w:sz w:val="24"/>
          <w:szCs w:val="24"/>
        </w:rPr>
        <w:t>AREAS</w:t>
      </w:r>
    </w:p>
    <w:p w:rsidR="00872C28" w:rsidRDefault="00872C28" w:rsidP="00872C28">
      <w:pPr>
        <w:rPr>
          <w:rFonts w:ascii="Arial" w:eastAsia="Arial" w:hAnsi="Arial" w:cs="Arial"/>
        </w:rPr>
      </w:pPr>
      <w:r w:rsidRPr="006D097A">
        <w:rPr>
          <w:rFonts w:ascii="Arial" w:eastAsia="Arial" w:hAnsi="Arial" w:cs="Arial"/>
        </w:rPr>
        <w:t>Sites wishing to achieve ‘Green List’ status must demonstrate</w:t>
      </w:r>
      <w:r w:rsidR="00767D29">
        <w:rPr>
          <w:rFonts w:ascii="Arial" w:eastAsia="Arial" w:hAnsi="Arial" w:cs="Arial"/>
        </w:rPr>
        <w:t>, and then maintain,</w:t>
      </w:r>
      <w:r w:rsidRPr="006D097A">
        <w:rPr>
          <w:rFonts w:ascii="Arial" w:eastAsia="Arial" w:hAnsi="Arial" w:cs="Arial"/>
        </w:rPr>
        <w:t xml:space="preserve"> successful implementation of the IUCN GLPCA Global Standard. This is evaluated in t</w:t>
      </w:r>
      <w:r w:rsidR="00767D29">
        <w:rPr>
          <w:rFonts w:ascii="Arial" w:eastAsia="Arial" w:hAnsi="Arial" w:cs="Arial"/>
        </w:rPr>
        <w:t>hree</w:t>
      </w:r>
      <w:r>
        <w:rPr>
          <w:rFonts w:ascii="Arial" w:eastAsia="Arial" w:hAnsi="Arial" w:cs="Arial"/>
        </w:rPr>
        <w:t xml:space="preserve"> Phases:</w:t>
      </w:r>
    </w:p>
    <w:p w:rsidR="00872C28" w:rsidRPr="006D097A" w:rsidRDefault="005A33E6" w:rsidP="00872C28">
      <w:pPr>
        <w:numPr>
          <w:ilvl w:val="0"/>
          <w:numId w:val="2"/>
        </w:numPr>
        <w:spacing w:after="0" w:line="240" w:lineRule="auto"/>
        <w:ind w:hanging="360"/>
        <w:rPr>
          <w:rFonts w:ascii="Arial" w:hAnsi="Arial" w:cs="Arial"/>
          <w:b/>
          <w:i/>
          <w:color w:val="4F81BD"/>
          <w:sz w:val="24"/>
          <w:szCs w:val="24"/>
        </w:rPr>
      </w:pPr>
      <w:r>
        <w:rPr>
          <w:rFonts w:ascii="Arial" w:hAnsi="Arial" w:cs="Arial"/>
          <w:b/>
          <w:i/>
          <w:color w:val="4F81BD"/>
          <w:sz w:val="24"/>
          <w:szCs w:val="24"/>
        </w:rPr>
        <w:t>Application</w:t>
      </w:r>
      <w:r w:rsidR="00872C28" w:rsidRPr="006D097A">
        <w:rPr>
          <w:rFonts w:ascii="Arial" w:hAnsi="Arial" w:cs="Arial"/>
          <w:b/>
          <w:i/>
          <w:color w:val="4F81BD"/>
          <w:sz w:val="24"/>
          <w:szCs w:val="24"/>
        </w:rPr>
        <w:t xml:space="preserve"> Phase:</w:t>
      </w:r>
    </w:p>
    <w:p w:rsidR="00872C28" w:rsidRPr="006D097A" w:rsidRDefault="00872C28" w:rsidP="00872C28">
      <w:pPr>
        <w:rPr>
          <w:rFonts w:ascii="Arial" w:hAnsi="Arial" w:cs="Arial"/>
        </w:rPr>
      </w:pPr>
      <w:r w:rsidRPr="006D097A">
        <w:rPr>
          <w:rFonts w:ascii="Arial" w:eastAsia="Arial" w:hAnsi="Arial" w:cs="Arial"/>
        </w:rPr>
        <w:t xml:space="preserve">The first step is a voluntary commitment to the GLPCA Programme. This </w:t>
      </w:r>
      <w:r w:rsidRPr="00231B5F">
        <w:rPr>
          <w:rFonts w:ascii="Arial" w:eastAsia="Arial" w:hAnsi="Arial" w:cs="Arial"/>
          <w:b/>
        </w:rPr>
        <w:t>commitment</w:t>
      </w:r>
      <w:r w:rsidRPr="006D097A">
        <w:rPr>
          <w:rFonts w:ascii="Arial" w:eastAsia="Arial" w:hAnsi="Arial" w:cs="Arial"/>
        </w:rPr>
        <w:t xml:space="preserve"> </w:t>
      </w:r>
      <w:r w:rsidR="005A33E6">
        <w:rPr>
          <w:rFonts w:ascii="Arial" w:eastAsia="Arial" w:hAnsi="Arial" w:cs="Arial"/>
        </w:rPr>
        <w:t xml:space="preserve">will </w:t>
      </w:r>
      <w:r w:rsidRPr="006D097A">
        <w:rPr>
          <w:rFonts w:ascii="Arial" w:eastAsia="Arial" w:hAnsi="Arial" w:cs="Arial"/>
        </w:rPr>
        <w:t xml:space="preserve">include the area on a global </w:t>
      </w:r>
      <w:r w:rsidRPr="00231B5F">
        <w:rPr>
          <w:rFonts w:ascii="Arial" w:eastAsia="Arial" w:hAnsi="Arial" w:cs="Arial"/>
        </w:rPr>
        <w:t>register</w:t>
      </w:r>
      <w:r w:rsidR="00984674">
        <w:rPr>
          <w:rFonts w:ascii="Arial" w:eastAsia="Arial" w:hAnsi="Arial" w:cs="Arial"/>
        </w:rPr>
        <w:t xml:space="preserve"> and begin the application process</w:t>
      </w:r>
      <w:r w:rsidRPr="006D097A">
        <w:rPr>
          <w:rFonts w:ascii="Arial" w:eastAsia="Arial" w:hAnsi="Arial" w:cs="Arial"/>
        </w:rPr>
        <w:t xml:space="preserve">. This ensures that the site meets the basic requirements for consideration. Sites then undergo an initial assessment against the Global Standard and adapted Indicators for their jurisdiction. Once the site has demonstrated that it has the ingredients for success, and that there is broad-based support for their achievement of the ‘Green List’, it is granted </w:t>
      </w:r>
      <w:r w:rsidRPr="006D097A">
        <w:rPr>
          <w:rFonts w:ascii="Arial" w:eastAsia="Arial" w:hAnsi="Arial" w:cs="Arial"/>
          <w:b/>
        </w:rPr>
        <w:t xml:space="preserve">Candidate </w:t>
      </w:r>
      <w:r w:rsidR="00984674">
        <w:rPr>
          <w:rFonts w:ascii="Arial" w:eastAsia="Arial" w:hAnsi="Arial" w:cs="Arial"/>
        </w:rPr>
        <w:t xml:space="preserve">status. It is during the Application </w:t>
      </w:r>
      <w:r w:rsidRPr="006D097A">
        <w:rPr>
          <w:rFonts w:ascii="Arial" w:eastAsia="Arial" w:hAnsi="Arial" w:cs="Arial"/>
        </w:rPr>
        <w:t xml:space="preserve">phase that site managers will learn of areas that may need to be strengthened before they can be </w:t>
      </w:r>
      <w:r w:rsidR="005A33E6">
        <w:rPr>
          <w:rFonts w:ascii="Arial" w:eastAsia="Arial" w:hAnsi="Arial" w:cs="Arial"/>
        </w:rPr>
        <w:t xml:space="preserve">further </w:t>
      </w:r>
      <w:r w:rsidRPr="006D097A">
        <w:rPr>
          <w:rFonts w:ascii="Arial" w:eastAsia="Arial" w:hAnsi="Arial" w:cs="Arial"/>
        </w:rPr>
        <w:t xml:space="preserve">considered </w:t>
      </w:r>
      <w:r w:rsidR="005A33E6">
        <w:rPr>
          <w:rFonts w:ascii="Arial" w:eastAsia="Arial" w:hAnsi="Arial" w:cs="Arial"/>
        </w:rPr>
        <w:t>for the Green List</w:t>
      </w:r>
      <w:r w:rsidRPr="006D097A">
        <w:rPr>
          <w:rFonts w:ascii="Arial" w:eastAsia="Arial" w:hAnsi="Arial" w:cs="Arial"/>
        </w:rPr>
        <w:t>.</w:t>
      </w:r>
    </w:p>
    <w:p w:rsidR="00872C28" w:rsidRPr="006D097A" w:rsidRDefault="005A33E6" w:rsidP="00872C28">
      <w:pPr>
        <w:numPr>
          <w:ilvl w:val="0"/>
          <w:numId w:val="2"/>
        </w:numPr>
        <w:spacing w:after="0" w:line="240" w:lineRule="auto"/>
        <w:ind w:hanging="360"/>
        <w:rPr>
          <w:rFonts w:ascii="Arial" w:hAnsi="Arial" w:cs="Arial"/>
          <w:b/>
          <w:i/>
          <w:color w:val="4F81BD"/>
          <w:sz w:val="24"/>
          <w:szCs w:val="24"/>
        </w:rPr>
      </w:pPr>
      <w:r>
        <w:rPr>
          <w:rFonts w:ascii="Arial" w:hAnsi="Arial" w:cs="Arial"/>
          <w:b/>
          <w:i/>
          <w:color w:val="4F81BD"/>
          <w:sz w:val="24"/>
          <w:szCs w:val="24"/>
        </w:rPr>
        <w:t>Candidate</w:t>
      </w:r>
      <w:r w:rsidR="00872C28" w:rsidRPr="006D097A">
        <w:rPr>
          <w:rFonts w:ascii="Arial" w:hAnsi="Arial" w:cs="Arial"/>
          <w:b/>
          <w:i/>
          <w:color w:val="4F81BD"/>
          <w:sz w:val="24"/>
          <w:szCs w:val="24"/>
        </w:rPr>
        <w:t xml:space="preserve"> Phase:</w:t>
      </w:r>
    </w:p>
    <w:p w:rsidR="00872C28" w:rsidRDefault="00872C28" w:rsidP="00872C28">
      <w:pPr>
        <w:rPr>
          <w:rFonts w:ascii="Arial" w:eastAsia="Arial" w:hAnsi="Arial" w:cs="Arial"/>
        </w:rPr>
      </w:pPr>
      <w:r w:rsidRPr="006D097A">
        <w:rPr>
          <w:rFonts w:ascii="Arial" w:eastAsia="Arial" w:hAnsi="Arial" w:cs="Arial"/>
        </w:rPr>
        <w:t xml:space="preserve">Once admitted as a candidate, the site begins a second phase of assessment </w:t>
      </w:r>
      <w:r w:rsidR="005A33E6">
        <w:rPr>
          <w:rFonts w:ascii="Arial" w:eastAsia="Arial" w:hAnsi="Arial" w:cs="Arial"/>
        </w:rPr>
        <w:t>(‘</w:t>
      </w:r>
      <w:r w:rsidR="005A33E6" w:rsidRPr="005A33E6">
        <w:rPr>
          <w:rFonts w:ascii="Arial" w:eastAsia="Arial" w:hAnsi="Arial" w:cs="Arial"/>
          <w:b/>
        </w:rPr>
        <w:t>candidate phase</w:t>
      </w:r>
      <w:r w:rsidR="005A33E6">
        <w:rPr>
          <w:rFonts w:ascii="Arial" w:eastAsia="Arial" w:hAnsi="Arial" w:cs="Arial"/>
        </w:rPr>
        <w:t>’)</w:t>
      </w:r>
      <w:r w:rsidR="006012ED">
        <w:rPr>
          <w:rFonts w:ascii="Arial" w:eastAsia="Arial" w:hAnsi="Arial" w:cs="Arial"/>
        </w:rPr>
        <w:t xml:space="preserve"> </w:t>
      </w:r>
      <w:r w:rsidRPr="006D097A">
        <w:rPr>
          <w:rFonts w:ascii="Arial" w:eastAsia="Arial" w:hAnsi="Arial" w:cs="Arial"/>
        </w:rPr>
        <w:t>against the full set of GLPCA Standard criteria, providing evidence against all indicators and addressing any identified shortcomings over a period of</w:t>
      </w:r>
      <w:r>
        <w:rPr>
          <w:rFonts w:ascii="Arial" w:eastAsia="Arial" w:hAnsi="Arial" w:cs="Arial"/>
        </w:rPr>
        <w:t xml:space="preserve"> time. This </w:t>
      </w:r>
      <w:r w:rsidR="005A33E6">
        <w:rPr>
          <w:rFonts w:ascii="Arial" w:eastAsia="Arial" w:hAnsi="Arial" w:cs="Arial"/>
        </w:rPr>
        <w:t xml:space="preserve">candidate </w:t>
      </w:r>
      <w:r>
        <w:rPr>
          <w:rFonts w:ascii="Arial" w:eastAsia="Arial" w:hAnsi="Arial" w:cs="Arial"/>
        </w:rPr>
        <w:t xml:space="preserve">phase </w:t>
      </w:r>
      <w:r w:rsidRPr="006D097A">
        <w:rPr>
          <w:rFonts w:ascii="Arial" w:eastAsia="Arial" w:hAnsi="Arial" w:cs="Arial"/>
        </w:rPr>
        <w:t xml:space="preserve">may take </w:t>
      </w:r>
      <w:r>
        <w:rPr>
          <w:rFonts w:ascii="Arial" w:eastAsia="Arial" w:hAnsi="Arial" w:cs="Arial"/>
        </w:rPr>
        <w:t xml:space="preserve">months or even </w:t>
      </w:r>
      <w:r w:rsidRPr="006D097A">
        <w:rPr>
          <w:rFonts w:ascii="Arial" w:eastAsia="Arial" w:hAnsi="Arial" w:cs="Arial"/>
        </w:rPr>
        <w:t xml:space="preserve">several years depending on the issues that have been identified. </w:t>
      </w:r>
      <w:r>
        <w:rPr>
          <w:rFonts w:ascii="Arial" w:eastAsia="Arial" w:hAnsi="Arial" w:cs="Arial"/>
        </w:rPr>
        <w:t>Once complete, c</w:t>
      </w:r>
      <w:r w:rsidRPr="006D097A">
        <w:rPr>
          <w:rFonts w:ascii="Arial" w:eastAsia="Arial" w:hAnsi="Arial" w:cs="Arial"/>
        </w:rPr>
        <w:t xml:space="preserve">andidate sites </w:t>
      </w:r>
      <w:r w:rsidR="00E81384">
        <w:rPr>
          <w:rFonts w:ascii="Arial" w:eastAsia="Arial" w:hAnsi="Arial" w:cs="Arial"/>
        </w:rPr>
        <w:t>are</w:t>
      </w:r>
      <w:r w:rsidRPr="006D097A">
        <w:rPr>
          <w:rFonts w:ascii="Arial" w:eastAsia="Arial" w:hAnsi="Arial" w:cs="Arial"/>
        </w:rPr>
        <w:t xml:space="preserve"> </w:t>
      </w:r>
      <w:r>
        <w:rPr>
          <w:rFonts w:ascii="Arial" w:eastAsia="Arial" w:hAnsi="Arial" w:cs="Arial"/>
        </w:rPr>
        <w:t xml:space="preserve">put forward </w:t>
      </w:r>
      <w:r w:rsidRPr="006D097A">
        <w:rPr>
          <w:rFonts w:ascii="Arial" w:eastAsia="Arial" w:hAnsi="Arial" w:cs="Arial"/>
        </w:rPr>
        <w:t xml:space="preserve">for </w:t>
      </w:r>
      <w:r>
        <w:rPr>
          <w:rFonts w:ascii="Arial" w:eastAsia="Arial" w:hAnsi="Arial" w:cs="Arial"/>
          <w:b/>
        </w:rPr>
        <w:t>n</w:t>
      </w:r>
      <w:r w:rsidRPr="006D097A">
        <w:rPr>
          <w:rFonts w:ascii="Arial" w:eastAsia="Arial" w:hAnsi="Arial" w:cs="Arial"/>
          <w:b/>
        </w:rPr>
        <w:t>omination</w:t>
      </w:r>
      <w:r w:rsidRPr="006D097A">
        <w:rPr>
          <w:rFonts w:ascii="Arial" w:eastAsia="Arial" w:hAnsi="Arial" w:cs="Arial"/>
        </w:rPr>
        <w:t xml:space="preserve"> to the Green List</w:t>
      </w:r>
      <w:r w:rsidR="005A33E6">
        <w:rPr>
          <w:rFonts w:ascii="Arial" w:eastAsia="Arial" w:hAnsi="Arial" w:cs="Arial"/>
        </w:rPr>
        <w:t xml:space="preserve">. </w:t>
      </w:r>
      <w:r w:rsidRPr="006D097A">
        <w:rPr>
          <w:rFonts w:ascii="Arial" w:eastAsia="Arial" w:hAnsi="Arial" w:cs="Arial"/>
        </w:rPr>
        <w:t xml:space="preserve">The </w:t>
      </w:r>
      <w:r w:rsidR="0069319C">
        <w:rPr>
          <w:rFonts w:ascii="Arial" w:eastAsia="Arial" w:hAnsi="Arial" w:cs="Arial"/>
          <w:b/>
        </w:rPr>
        <w:t>n</w:t>
      </w:r>
      <w:r w:rsidRPr="006D097A">
        <w:rPr>
          <w:rFonts w:ascii="Arial" w:eastAsia="Arial" w:hAnsi="Arial" w:cs="Arial"/>
          <w:b/>
        </w:rPr>
        <w:t>omination</w:t>
      </w:r>
      <w:r w:rsidRPr="006D097A">
        <w:rPr>
          <w:rFonts w:ascii="Arial" w:eastAsia="Arial" w:hAnsi="Arial" w:cs="Arial"/>
        </w:rPr>
        <w:t xml:space="preserve"> process involves the preparation and submission of a complete </w:t>
      </w:r>
      <w:r w:rsidR="0069319C">
        <w:rPr>
          <w:rFonts w:ascii="Arial" w:eastAsia="Arial" w:hAnsi="Arial" w:cs="Arial"/>
        </w:rPr>
        <w:t>dossier</w:t>
      </w:r>
      <w:r w:rsidRPr="006D097A">
        <w:rPr>
          <w:rFonts w:ascii="Arial" w:eastAsia="Arial" w:hAnsi="Arial" w:cs="Arial"/>
        </w:rPr>
        <w:t xml:space="preserve"> by a candidate site addressing all Global Standard criteria. It will be evaluated by </w:t>
      </w:r>
      <w:r w:rsidR="005A33E6">
        <w:rPr>
          <w:rFonts w:ascii="Arial" w:eastAsia="Arial" w:hAnsi="Arial" w:cs="Arial"/>
        </w:rPr>
        <w:t>the</w:t>
      </w:r>
      <w:r w:rsidRPr="006D097A">
        <w:rPr>
          <w:rFonts w:ascii="Arial" w:eastAsia="Arial" w:hAnsi="Arial" w:cs="Arial"/>
        </w:rPr>
        <w:t xml:space="preserve"> Expert Assessment Group </w:t>
      </w:r>
      <w:r>
        <w:rPr>
          <w:rFonts w:ascii="Arial" w:eastAsia="Arial" w:hAnsi="Arial" w:cs="Arial"/>
        </w:rPr>
        <w:t xml:space="preserve">(EAGL) </w:t>
      </w:r>
      <w:r w:rsidRPr="006D097A">
        <w:rPr>
          <w:rFonts w:ascii="Arial" w:eastAsia="Arial" w:hAnsi="Arial" w:cs="Arial"/>
        </w:rPr>
        <w:t xml:space="preserve">for the local jurisdiction, with the process </w:t>
      </w:r>
      <w:r>
        <w:rPr>
          <w:rFonts w:ascii="Arial" w:eastAsia="Arial" w:hAnsi="Arial" w:cs="Arial"/>
        </w:rPr>
        <w:t>verified</w:t>
      </w:r>
      <w:r w:rsidRPr="006D097A">
        <w:rPr>
          <w:rFonts w:ascii="Arial" w:eastAsia="Arial" w:hAnsi="Arial" w:cs="Arial"/>
        </w:rPr>
        <w:t xml:space="preserve"> by an independent Reviewer. Based on this recommendation, the final decision will be approved, or referred, by the IUCN GLPCA independent global panel of senior experts.</w:t>
      </w:r>
    </w:p>
    <w:p w:rsidR="00767D29" w:rsidRPr="00BD5F0F" w:rsidRDefault="00BD5F0F" w:rsidP="00BD5F0F">
      <w:pPr>
        <w:spacing w:after="0" w:line="240" w:lineRule="auto"/>
        <w:rPr>
          <w:rFonts w:ascii="Arial" w:hAnsi="Arial" w:cs="Arial"/>
          <w:b/>
          <w:i/>
          <w:color w:val="4F81BD"/>
          <w:sz w:val="24"/>
          <w:szCs w:val="24"/>
        </w:rPr>
      </w:pPr>
      <w:r>
        <w:rPr>
          <w:rFonts w:ascii="Arial" w:hAnsi="Arial" w:cs="Arial"/>
          <w:b/>
          <w:i/>
          <w:color w:val="4F81BD"/>
          <w:sz w:val="24"/>
          <w:szCs w:val="24"/>
        </w:rPr>
        <w:t xml:space="preserve">     3. Green List</w:t>
      </w:r>
      <w:r w:rsidR="00767D29" w:rsidRPr="00BD5F0F">
        <w:rPr>
          <w:rFonts w:ascii="Arial" w:hAnsi="Arial" w:cs="Arial"/>
          <w:b/>
          <w:i/>
          <w:color w:val="4F81BD"/>
          <w:sz w:val="24"/>
          <w:szCs w:val="24"/>
        </w:rPr>
        <w:t xml:space="preserve"> Phase:</w:t>
      </w:r>
    </w:p>
    <w:p w:rsidR="00872C28" w:rsidRDefault="00E81384" w:rsidP="00E81384">
      <w:pPr>
        <w:rPr>
          <w:rFonts w:ascii="Arial" w:eastAsia="Arial" w:hAnsi="Arial" w:cs="Arial"/>
        </w:rPr>
      </w:pPr>
      <w:r w:rsidRPr="006D097A">
        <w:rPr>
          <w:rFonts w:ascii="Arial" w:eastAsia="Arial" w:hAnsi="Arial" w:cs="Arial"/>
        </w:rPr>
        <w:t xml:space="preserve">Once a Candidate site is awarded ‘Green List’ status, the management and representatives for the area will be provided a </w:t>
      </w:r>
      <w:r w:rsidRPr="0069319C">
        <w:rPr>
          <w:rFonts w:ascii="Arial" w:eastAsia="Arial" w:hAnsi="Arial" w:cs="Arial"/>
          <w:b/>
        </w:rPr>
        <w:t>certificate</w:t>
      </w:r>
      <w:r w:rsidRPr="006D097A">
        <w:rPr>
          <w:rFonts w:ascii="Arial" w:eastAsia="Arial" w:hAnsi="Arial" w:cs="Arial"/>
        </w:rPr>
        <w:t>. The area will be afforded the right to use the IUCN GLPCA mark and logo, and will be recognised and promoted by IUCN as a global exemplar in conservation achievement. Additionally, all Candidate and ‘Green List’ sites will be profiled on the Protected Planet portal of the UNEP- World Conservation Monitoring Centre’s (WCMC) World Data</w:t>
      </w:r>
      <w:r>
        <w:rPr>
          <w:rFonts w:ascii="Arial" w:eastAsia="Arial" w:hAnsi="Arial" w:cs="Arial"/>
        </w:rPr>
        <w:t>base on Protected Areas (WDPA).</w:t>
      </w:r>
      <w:r w:rsidR="0050195A">
        <w:rPr>
          <w:rFonts w:ascii="Arial" w:eastAsia="Arial" w:hAnsi="Arial" w:cs="Arial"/>
        </w:rPr>
        <w:t xml:space="preserve"> </w:t>
      </w:r>
      <w:r>
        <w:rPr>
          <w:rFonts w:ascii="Arial" w:eastAsia="Arial" w:hAnsi="Arial" w:cs="Arial"/>
        </w:rPr>
        <w:t>After a site achieves Green List Status</w:t>
      </w:r>
      <w:r w:rsidRPr="006D097A">
        <w:rPr>
          <w:rFonts w:ascii="Arial" w:eastAsia="Arial" w:hAnsi="Arial" w:cs="Arial"/>
        </w:rPr>
        <w:t xml:space="preserve">, the </w:t>
      </w:r>
      <w:r>
        <w:rPr>
          <w:rFonts w:ascii="Arial" w:eastAsia="Arial" w:hAnsi="Arial" w:cs="Arial"/>
        </w:rPr>
        <w:t xml:space="preserve">IUCN GLPCA Programme focuses on </w:t>
      </w:r>
      <w:r w:rsidRPr="006D097A">
        <w:rPr>
          <w:rFonts w:ascii="Arial" w:eastAsia="Arial" w:hAnsi="Arial" w:cs="Arial"/>
        </w:rPr>
        <w:t>maintain</w:t>
      </w:r>
      <w:r>
        <w:rPr>
          <w:rFonts w:ascii="Arial" w:eastAsia="Arial" w:hAnsi="Arial" w:cs="Arial"/>
        </w:rPr>
        <w:t>ing</w:t>
      </w:r>
      <w:r w:rsidRPr="006D097A">
        <w:rPr>
          <w:rFonts w:ascii="Arial" w:eastAsia="Arial" w:hAnsi="Arial" w:cs="Arial"/>
        </w:rPr>
        <w:t xml:space="preserve"> th</w:t>
      </w:r>
      <w:r>
        <w:rPr>
          <w:rFonts w:ascii="Arial" w:eastAsia="Arial" w:hAnsi="Arial" w:cs="Arial"/>
        </w:rPr>
        <w:t xml:space="preserve">at status. A </w:t>
      </w:r>
      <w:r w:rsidR="0050195A">
        <w:rPr>
          <w:rFonts w:ascii="Arial" w:eastAsia="Arial" w:hAnsi="Arial" w:cs="Arial"/>
        </w:rPr>
        <w:t>mid-term</w:t>
      </w:r>
      <w:r>
        <w:rPr>
          <w:rFonts w:ascii="Arial" w:eastAsia="Arial" w:hAnsi="Arial" w:cs="Arial"/>
        </w:rPr>
        <w:t xml:space="preserve"> </w:t>
      </w:r>
      <w:r w:rsidR="0050195A">
        <w:rPr>
          <w:rFonts w:ascii="Arial" w:eastAsia="Arial" w:hAnsi="Arial" w:cs="Arial"/>
        </w:rPr>
        <w:t xml:space="preserve">rapid </w:t>
      </w:r>
      <w:r>
        <w:rPr>
          <w:rFonts w:ascii="Arial" w:eastAsia="Arial" w:hAnsi="Arial" w:cs="Arial"/>
        </w:rPr>
        <w:t>review of</w:t>
      </w:r>
      <w:r w:rsidRPr="006D097A">
        <w:rPr>
          <w:rFonts w:ascii="Arial" w:eastAsia="Arial" w:hAnsi="Arial" w:cs="Arial"/>
        </w:rPr>
        <w:t xml:space="preserve"> performance is carried out for all ‘Green List’ sites. </w:t>
      </w:r>
      <w:r w:rsidR="0069319C">
        <w:rPr>
          <w:rFonts w:ascii="Arial" w:eastAsia="Arial" w:hAnsi="Arial" w:cs="Arial"/>
        </w:rPr>
        <w:t>Additionally</w:t>
      </w:r>
      <w:r w:rsidR="0050195A">
        <w:rPr>
          <w:rFonts w:ascii="Arial" w:eastAsia="Arial" w:hAnsi="Arial" w:cs="Arial"/>
        </w:rPr>
        <w:t>, t</w:t>
      </w:r>
      <w:r w:rsidRPr="006D097A">
        <w:rPr>
          <w:rFonts w:ascii="Arial" w:eastAsia="Arial" w:hAnsi="Arial" w:cs="Arial"/>
        </w:rPr>
        <w:t xml:space="preserve">hroughout the period, the IUCN GLPCA Programme factors and filters stakeholder views and public opinion into the area’s ongoing performance. The IUCN GLPCA Manual also deals with procedures for grievances from any parties involved. </w:t>
      </w:r>
      <w:r w:rsidR="0050195A">
        <w:rPr>
          <w:rFonts w:ascii="Arial" w:hAnsi="Arial" w:cs="Arial"/>
          <w:bCs/>
          <w:lang w:val="en-GB"/>
        </w:rPr>
        <w:t>In the final year of the current Green List award, the area management must begin a renewal process to justify continued success and performance against the Standard criteria, and thereby renew their Green List status for a further period, usually 5 years</w:t>
      </w:r>
      <w:r w:rsidRPr="006D097A">
        <w:rPr>
          <w:rFonts w:ascii="Arial" w:eastAsia="Arial" w:hAnsi="Arial" w:cs="Arial"/>
        </w:rPr>
        <w:t>. If for any reason new challenges affect the area’s achievement of the Standard, it will be considered again as a Candidate, and encouraged to develop a specific plan of action to regain Green List status through renewed nomination.</w:t>
      </w:r>
      <w:r w:rsidR="0050195A">
        <w:rPr>
          <w:rFonts w:ascii="Arial" w:eastAsia="Arial" w:hAnsi="Arial" w:cs="Arial"/>
        </w:rPr>
        <w:t xml:space="preserve"> </w:t>
      </w:r>
      <w:r w:rsidRPr="006D097A">
        <w:rPr>
          <w:rFonts w:ascii="Arial" w:eastAsia="Arial" w:hAnsi="Arial" w:cs="Arial"/>
        </w:rPr>
        <w:t>Users of this Standard should contact the IUCN Global Protected Areas Programme for information on the process of achieving the Green List Standard (</w:t>
      </w:r>
      <w:hyperlink r:id="rId11">
        <w:r w:rsidRPr="006D097A">
          <w:rPr>
            <w:rFonts w:ascii="Arial" w:eastAsia="Arial" w:hAnsi="Arial" w:cs="Arial"/>
            <w:color w:val="0000FF"/>
            <w:u w:val="single"/>
          </w:rPr>
          <w:t>glpca@iucn.org</w:t>
        </w:r>
      </w:hyperlink>
      <w:r w:rsidRPr="006D097A">
        <w:rPr>
          <w:rFonts w:ascii="Arial" w:eastAsia="Arial" w:hAnsi="Arial" w:cs="Arial"/>
        </w:rPr>
        <w:t>).</w:t>
      </w:r>
    </w:p>
    <w:p w:rsidR="0050195A" w:rsidRDefault="0050195A" w:rsidP="0050195A">
      <w:pPr>
        <w:rPr>
          <w:rFonts w:ascii="Arial" w:hAnsi="Arial" w:cs="Arial"/>
          <w:i/>
          <w:color w:val="auto"/>
        </w:rPr>
      </w:pPr>
      <w:r w:rsidRPr="00E74F6C">
        <w:rPr>
          <w:rFonts w:ascii="Arial" w:hAnsi="Arial" w:cs="Arial"/>
          <w:i/>
        </w:rPr>
        <w:t xml:space="preserve">Note: </w:t>
      </w:r>
      <w:r>
        <w:rPr>
          <w:rFonts w:ascii="Arial" w:hAnsi="Arial" w:cs="Arial"/>
          <w:i/>
        </w:rPr>
        <w:t>Under each of the 4 C</w:t>
      </w:r>
      <w:r w:rsidRPr="00E74F6C">
        <w:rPr>
          <w:rFonts w:ascii="Arial" w:hAnsi="Arial" w:cs="Arial"/>
          <w:i/>
        </w:rPr>
        <w:t>omponent</w:t>
      </w:r>
      <w:r>
        <w:rPr>
          <w:rFonts w:ascii="Arial" w:hAnsi="Arial" w:cs="Arial"/>
          <w:i/>
        </w:rPr>
        <w:t>s,</w:t>
      </w:r>
      <w:r w:rsidRPr="00E74F6C">
        <w:rPr>
          <w:rFonts w:ascii="Arial" w:hAnsi="Arial" w:cs="Arial"/>
          <w:i/>
        </w:rPr>
        <w:t xml:space="preserve"> there are Criteria and Indicators. Indicators in </w:t>
      </w:r>
      <w:r w:rsidRPr="005A33E6">
        <w:rPr>
          <w:rFonts w:ascii="Arial" w:hAnsi="Arial" w:cs="Arial"/>
          <w:b/>
          <w:i/>
          <w:color w:val="0066FF"/>
        </w:rPr>
        <w:t>Blue text</w:t>
      </w:r>
      <w:r w:rsidRPr="005A33E6">
        <w:rPr>
          <w:rFonts w:ascii="Arial" w:hAnsi="Arial" w:cs="Arial"/>
          <w:i/>
          <w:color w:val="0066FF"/>
        </w:rPr>
        <w:t xml:space="preserve"> </w:t>
      </w:r>
      <w:r w:rsidRPr="00E74F6C">
        <w:rPr>
          <w:rFonts w:ascii="Arial" w:hAnsi="Arial" w:cs="Arial"/>
          <w:i/>
          <w:color w:val="auto"/>
        </w:rPr>
        <w:t xml:space="preserve">must be completed during the </w:t>
      </w:r>
      <w:r>
        <w:rPr>
          <w:rFonts w:ascii="Arial" w:hAnsi="Arial" w:cs="Arial"/>
          <w:i/>
          <w:color w:val="auto"/>
        </w:rPr>
        <w:t>Application</w:t>
      </w:r>
      <w:r w:rsidRPr="00E74F6C">
        <w:rPr>
          <w:rFonts w:ascii="Arial" w:hAnsi="Arial" w:cs="Arial"/>
          <w:i/>
          <w:color w:val="auto"/>
        </w:rPr>
        <w:t xml:space="preserve"> phase.</w:t>
      </w:r>
      <w:r>
        <w:rPr>
          <w:rFonts w:ascii="Arial" w:hAnsi="Arial" w:cs="Arial"/>
          <w:i/>
          <w:color w:val="auto"/>
        </w:rPr>
        <w:t xml:space="preserve"> </w:t>
      </w:r>
      <w:r w:rsidRPr="00E74F6C">
        <w:rPr>
          <w:rFonts w:ascii="Arial" w:hAnsi="Arial" w:cs="Arial"/>
          <w:i/>
          <w:color w:val="auto"/>
        </w:rPr>
        <w:t>Indicators in</w:t>
      </w:r>
      <w:r w:rsidRPr="00E74F6C">
        <w:rPr>
          <w:rFonts w:ascii="Arial" w:hAnsi="Arial" w:cs="Arial"/>
          <w:i/>
          <w:color w:val="00B050"/>
        </w:rPr>
        <w:t xml:space="preserve"> </w:t>
      </w:r>
      <w:r w:rsidRPr="00E30A9A">
        <w:rPr>
          <w:rFonts w:ascii="Arial" w:hAnsi="Arial" w:cs="Arial"/>
          <w:b/>
          <w:i/>
          <w:color w:val="00B050"/>
        </w:rPr>
        <w:t>Green text</w:t>
      </w:r>
      <w:r w:rsidRPr="00E30A9A">
        <w:rPr>
          <w:rFonts w:ascii="Arial" w:hAnsi="Arial" w:cs="Arial"/>
          <w:i/>
          <w:color w:val="00B050"/>
        </w:rPr>
        <w:t xml:space="preserve"> </w:t>
      </w:r>
      <w:r w:rsidRPr="00E74F6C">
        <w:rPr>
          <w:rFonts w:ascii="Arial" w:hAnsi="Arial" w:cs="Arial"/>
          <w:i/>
          <w:color w:val="auto"/>
        </w:rPr>
        <w:t xml:space="preserve">must be </w:t>
      </w:r>
      <w:r w:rsidR="0069319C">
        <w:rPr>
          <w:rFonts w:ascii="Arial" w:hAnsi="Arial" w:cs="Arial"/>
          <w:i/>
          <w:color w:val="auto"/>
        </w:rPr>
        <w:t>c</w:t>
      </w:r>
      <w:r w:rsidRPr="00E74F6C">
        <w:rPr>
          <w:rFonts w:ascii="Arial" w:hAnsi="Arial" w:cs="Arial"/>
          <w:i/>
          <w:color w:val="auto"/>
        </w:rPr>
        <w:t xml:space="preserve">ompleted during the </w:t>
      </w:r>
      <w:r>
        <w:rPr>
          <w:rFonts w:ascii="Arial" w:hAnsi="Arial" w:cs="Arial"/>
          <w:i/>
          <w:color w:val="auto"/>
        </w:rPr>
        <w:t xml:space="preserve">Candidate and Green List </w:t>
      </w:r>
      <w:r w:rsidRPr="00E74F6C">
        <w:rPr>
          <w:rFonts w:ascii="Arial" w:hAnsi="Arial" w:cs="Arial"/>
          <w:i/>
          <w:color w:val="auto"/>
        </w:rPr>
        <w:t>phase</w:t>
      </w:r>
      <w:r>
        <w:rPr>
          <w:rFonts w:ascii="Arial" w:hAnsi="Arial" w:cs="Arial"/>
          <w:i/>
          <w:color w:val="auto"/>
        </w:rPr>
        <w:t>s</w:t>
      </w:r>
      <w:r w:rsidRPr="00E74F6C">
        <w:rPr>
          <w:rFonts w:ascii="Arial" w:hAnsi="Arial" w:cs="Arial"/>
          <w:i/>
          <w:color w:val="auto"/>
        </w:rPr>
        <w:t>.</w:t>
      </w:r>
    </w:p>
    <w:p w:rsidR="0050195A" w:rsidRDefault="0050195A" w:rsidP="00E81384">
      <w:pPr>
        <w:rPr>
          <w:rFonts w:ascii="Arial" w:hAnsi="Arial" w:cs="Arial"/>
          <w:i/>
          <w:color w:val="auto"/>
        </w:rPr>
        <w:sectPr w:rsidR="0050195A">
          <w:headerReference w:type="default" r:id="rId12"/>
          <w:pgSz w:w="11906" w:h="16838"/>
          <w:pgMar w:top="1440" w:right="1440" w:bottom="1440" w:left="1440" w:header="708" w:footer="708" w:gutter="0"/>
          <w:cols w:space="708"/>
          <w:docGrid w:linePitch="360"/>
        </w:sectPr>
      </w:pPr>
    </w:p>
    <w:tbl>
      <w:tblPr>
        <w:tblStyle w:val="TableGrid"/>
        <w:tblW w:w="14142" w:type="dxa"/>
        <w:tblLayout w:type="fixed"/>
        <w:tblLook w:val="01E0" w:firstRow="1" w:lastRow="1" w:firstColumn="1" w:lastColumn="1" w:noHBand="0" w:noVBand="0"/>
      </w:tblPr>
      <w:tblGrid>
        <w:gridCol w:w="7071"/>
        <w:gridCol w:w="7071"/>
      </w:tblGrid>
      <w:tr w:rsidR="00CC4C9B" w:rsidRPr="006D097A" w:rsidTr="0061623F">
        <w:tc>
          <w:tcPr>
            <w:tcW w:w="14142" w:type="dxa"/>
            <w:gridSpan w:val="2"/>
            <w:shd w:val="clear" w:color="auto" w:fill="76923C" w:themeFill="accent3" w:themeFillShade="BF"/>
          </w:tcPr>
          <w:p w:rsidR="00CC4C9B" w:rsidRDefault="00CC4C9B" w:rsidP="00A24E5F">
            <w:pPr>
              <w:pStyle w:val="NoSpacing"/>
              <w:rPr>
                <w:rFonts w:ascii="Arial" w:hAnsi="Arial" w:cs="Arial"/>
                <w:b/>
                <w:color w:val="FFFFFF" w:themeColor="background1"/>
                <w:sz w:val="28"/>
                <w:szCs w:val="28"/>
              </w:rPr>
            </w:pPr>
            <w:r w:rsidRPr="00A24E5F">
              <w:rPr>
                <w:b/>
                <w:color w:val="FFFFFF" w:themeColor="background1"/>
              </w:rPr>
              <w:lastRenderedPageBreak/>
              <w:br w:type="page"/>
            </w:r>
            <w:r w:rsidRPr="00A24E5F">
              <w:rPr>
                <w:rFonts w:ascii="Arial" w:hAnsi="Arial" w:cs="Arial"/>
                <w:b/>
                <w:color w:val="FFFFFF" w:themeColor="background1"/>
                <w:sz w:val="28"/>
                <w:szCs w:val="28"/>
              </w:rPr>
              <w:t>Component 1: GOOD GOVERNANCE</w:t>
            </w:r>
          </w:p>
          <w:p w:rsidR="00A24E5F" w:rsidRPr="00A24E5F" w:rsidRDefault="00A24E5F" w:rsidP="00A24E5F">
            <w:pPr>
              <w:pStyle w:val="NoSpacing"/>
              <w:rPr>
                <w:rFonts w:ascii="Arial" w:hAnsi="Arial" w:cs="Arial"/>
                <w:b/>
                <w:color w:val="FFFFFF" w:themeColor="background1"/>
                <w:sz w:val="28"/>
                <w:szCs w:val="28"/>
              </w:rPr>
            </w:pPr>
          </w:p>
        </w:tc>
      </w:tr>
      <w:tr w:rsidR="00A24E5F" w:rsidRPr="006D097A" w:rsidTr="00A24E5F">
        <w:tc>
          <w:tcPr>
            <w:tcW w:w="14142" w:type="dxa"/>
            <w:gridSpan w:val="2"/>
            <w:shd w:val="clear" w:color="auto" w:fill="FFCC00"/>
          </w:tcPr>
          <w:p w:rsidR="00A24E5F" w:rsidRPr="00A24E5F" w:rsidRDefault="00A24E5F" w:rsidP="00612220">
            <w:pPr>
              <w:pStyle w:val="NoSpacing"/>
              <w:rPr>
                <w:color w:val="auto"/>
              </w:rPr>
            </w:pPr>
            <w:r w:rsidRPr="00A24E5F">
              <w:rPr>
                <w:rFonts w:ascii="Arial" w:hAnsi="Arial" w:cs="Arial"/>
                <w:b/>
                <w:color w:val="auto"/>
                <w:sz w:val="24"/>
                <w:szCs w:val="24"/>
              </w:rPr>
              <w:t xml:space="preserve">Green List </w:t>
            </w:r>
            <w:r w:rsidR="00612220">
              <w:rPr>
                <w:rFonts w:ascii="Arial" w:hAnsi="Arial" w:cs="Arial"/>
                <w:b/>
                <w:color w:val="auto"/>
                <w:sz w:val="24"/>
                <w:szCs w:val="24"/>
              </w:rPr>
              <w:t>sites</w:t>
            </w:r>
            <w:r w:rsidRPr="00A24E5F">
              <w:rPr>
                <w:rFonts w:ascii="Arial" w:hAnsi="Arial" w:cs="Arial"/>
                <w:b/>
                <w:color w:val="auto"/>
                <w:sz w:val="24"/>
                <w:szCs w:val="24"/>
              </w:rPr>
              <w:t xml:space="preserve"> demonstrate equitable and effective governance</w:t>
            </w:r>
          </w:p>
        </w:tc>
      </w:tr>
      <w:tr w:rsidR="00DA5C94" w:rsidRPr="009F17FD" w:rsidTr="00533065">
        <w:tc>
          <w:tcPr>
            <w:tcW w:w="7071" w:type="dxa"/>
          </w:tcPr>
          <w:p w:rsidR="00DA5C94" w:rsidRPr="008E61F4" w:rsidRDefault="00DA5C94" w:rsidP="00DA5C94">
            <w:pPr>
              <w:pStyle w:val="ListParagraph"/>
              <w:ind w:left="360"/>
              <w:jc w:val="both"/>
              <w:rPr>
                <w:rFonts w:ascii="Arial" w:eastAsia="Arial" w:hAnsi="Arial" w:cs="Arial"/>
                <w:b/>
                <w:sz w:val="18"/>
                <w:szCs w:val="18"/>
              </w:rPr>
            </w:pPr>
          </w:p>
          <w:p w:rsidR="00DA5C94" w:rsidRPr="0050195A" w:rsidRDefault="00DA5C94" w:rsidP="00CC4C9B">
            <w:pPr>
              <w:pStyle w:val="ListParagraph"/>
              <w:numPr>
                <w:ilvl w:val="1"/>
                <w:numId w:val="7"/>
              </w:numPr>
              <w:jc w:val="both"/>
              <w:rPr>
                <w:rFonts w:ascii="Arial" w:eastAsia="Arial" w:hAnsi="Arial" w:cs="Arial"/>
                <w:b/>
              </w:rPr>
            </w:pPr>
            <w:r w:rsidRPr="0050195A">
              <w:rPr>
                <w:rFonts w:ascii="Arial" w:eastAsia="Arial" w:hAnsi="Arial" w:cs="Arial"/>
                <w:b/>
              </w:rPr>
              <w:t>GUARANTEE LEGITIMACY AND VOICE</w:t>
            </w:r>
          </w:p>
        </w:tc>
        <w:tc>
          <w:tcPr>
            <w:tcW w:w="7071" w:type="dxa"/>
          </w:tcPr>
          <w:p w:rsidR="00DA5C94" w:rsidRPr="008E61F4" w:rsidRDefault="00DA5C94" w:rsidP="00CC4C9B">
            <w:pPr>
              <w:contextualSpacing/>
              <w:rPr>
                <w:rFonts w:ascii="Arial" w:hAnsi="Arial" w:cs="Arial"/>
                <w:sz w:val="18"/>
                <w:szCs w:val="18"/>
              </w:rPr>
            </w:pPr>
            <w:r w:rsidRPr="008E61F4">
              <w:rPr>
                <w:rFonts w:ascii="Arial" w:eastAsia="Arial" w:hAnsi="Arial" w:cs="Arial"/>
                <w:sz w:val="18"/>
                <w:szCs w:val="18"/>
              </w:rPr>
              <w:t>There are clearly defined, legitimate and functional governance arrangements, in which the interests of civil society, rights-holders and stakeholders are fairly represented and addressed, including those relating to the establishment or designation of the site.</w:t>
            </w:r>
          </w:p>
          <w:p w:rsidR="00DA5C94" w:rsidRPr="008E61F4" w:rsidRDefault="00DA5C94" w:rsidP="00CC4C9B">
            <w:pPr>
              <w:ind w:left="372"/>
              <w:contextualSpacing/>
              <w:rPr>
                <w:rFonts w:ascii="Arial" w:hAnsi="Arial" w:cs="Arial"/>
                <w:b/>
                <w:sz w:val="18"/>
                <w:szCs w:val="18"/>
              </w:rPr>
            </w:pPr>
          </w:p>
        </w:tc>
      </w:tr>
      <w:tr w:rsidR="00DA5C94" w:rsidRPr="006D097A" w:rsidTr="00A75420">
        <w:tc>
          <w:tcPr>
            <w:tcW w:w="7071" w:type="dxa"/>
          </w:tcPr>
          <w:p w:rsidR="00DA5C94" w:rsidRPr="008E61F4" w:rsidRDefault="00DA5C94" w:rsidP="00DA5C94">
            <w:pPr>
              <w:pStyle w:val="ListParagraph"/>
              <w:ind w:left="360"/>
              <w:rPr>
                <w:rFonts w:ascii="Arial" w:eastAsia="Arial" w:hAnsi="Arial" w:cs="Arial"/>
                <w:b/>
                <w:sz w:val="18"/>
                <w:szCs w:val="18"/>
              </w:rPr>
            </w:pPr>
            <w:r w:rsidRPr="008E61F4">
              <w:rPr>
                <w:rFonts w:ascii="Arial" w:hAnsi="Arial" w:cs="Arial"/>
                <w:sz w:val="18"/>
                <w:szCs w:val="18"/>
              </w:rPr>
              <w:br w:type="page"/>
            </w:r>
          </w:p>
          <w:p w:rsidR="00DA5C94" w:rsidRPr="0050195A" w:rsidRDefault="00DA5C94" w:rsidP="00CC4C9B">
            <w:pPr>
              <w:pStyle w:val="ListParagraph"/>
              <w:numPr>
                <w:ilvl w:val="1"/>
                <w:numId w:val="7"/>
              </w:numPr>
              <w:rPr>
                <w:rFonts w:ascii="Arial" w:eastAsia="Arial" w:hAnsi="Arial" w:cs="Arial"/>
                <w:b/>
              </w:rPr>
            </w:pPr>
            <w:r w:rsidRPr="0050195A">
              <w:rPr>
                <w:rFonts w:ascii="Arial" w:eastAsia="Arial" w:hAnsi="Arial" w:cs="Arial"/>
                <w:b/>
              </w:rPr>
              <w:t>ACHIEVE TRANSPARENCY AND ACCOUNTABILITY</w:t>
            </w:r>
          </w:p>
        </w:tc>
        <w:tc>
          <w:tcPr>
            <w:tcW w:w="7071" w:type="dxa"/>
          </w:tcPr>
          <w:p w:rsidR="00DA5C94" w:rsidRPr="008E61F4" w:rsidRDefault="00DA5C94" w:rsidP="00CC4C9B">
            <w:pPr>
              <w:contextualSpacing/>
              <w:rPr>
                <w:rFonts w:ascii="Arial" w:hAnsi="Arial" w:cs="Arial"/>
                <w:sz w:val="18"/>
                <w:szCs w:val="18"/>
              </w:rPr>
            </w:pPr>
            <w:r w:rsidRPr="008E61F4">
              <w:rPr>
                <w:rFonts w:ascii="Arial" w:eastAsia="Arial" w:hAnsi="Arial" w:cs="Arial"/>
                <w:sz w:val="18"/>
                <w:szCs w:val="18"/>
              </w:rPr>
              <w:t>Governance arrangements and decision-making processes are transparent and appropriately communicated, and responsibilities for implementation are clear, including a readily accessible process to identify, hear and resolve complaints, disputes, or grievances.</w:t>
            </w:r>
          </w:p>
          <w:p w:rsidR="003D22DC" w:rsidRPr="008E61F4" w:rsidRDefault="003D22DC" w:rsidP="003D22DC">
            <w:pPr>
              <w:contextualSpacing/>
              <w:rPr>
                <w:rFonts w:ascii="Arial" w:hAnsi="Arial" w:cs="Arial"/>
                <w:b/>
                <w:sz w:val="18"/>
                <w:szCs w:val="18"/>
              </w:rPr>
            </w:pPr>
          </w:p>
        </w:tc>
      </w:tr>
      <w:tr w:rsidR="00DA5C94" w:rsidRPr="006D097A" w:rsidTr="00CA3156">
        <w:tc>
          <w:tcPr>
            <w:tcW w:w="7071" w:type="dxa"/>
            <w:tcBorders>
              <w:bottom w:val="single" w:sz="4" w:space="0" w:color="auto"/>
            </w:tcBorders>
          </w:tcPr>
          <w:p w:rsidR="00DA5C94" w:rsidRPr="008E61F4" w:rsidRDefault="00DA5C94" w:rsidP="00DA5C94">
            <w:pPr>
              <w:pStyle w:val="ListParagraph"/>
              <w:ind w:left="360"/>
              <w:rPr>
                <w:rFonts w:ascii="Arial" w:eastAsia="Arial" w:hAnsi="Arial" w:cs="Arial"/>
                <w:b/>
                <w:sz w:val="18"/>
                <w:szCs w:val="18"/>
              </w:rPr>
            </w:pPr>
          </w:p>
          <w:p w:rsidR="00DA5C94" w:rsidRPr="0050195A" w:rsidRDefault="00DA5C94" w:rsidP="00292319">
            <w:pPr>
              <w:pStyle w:val="ListParagraph"/>
              <w:numPr>
                <w:ilvl w:val="1"/>
                <w:numId w:val="7"/>
              </w:numPr>
              <w:rPr>
                <w:rFonts w:ascii="Arial" w:eastAsia="Arial" w:hAnsi="Arial" w:cs="Arial"/>
                <w:b/>
              </w:rPr>
            </w:pPr>
            <w:r w:rsidRPr="0050195A">
              <w:rPr>
                <w:rFonts w:ascii="Arial" w:eastAsia="Arial" w:hAnsi="Arial" w:cs="Arial"/>
                <w:b/>
              </w:rPr>
              <w:t xml:space="preserve">ENABLE GOVERNANCE VITALITY AND CAPACITY TO RESPOND ADAPTIVELY </w:t>
            </w:r>
          </w:p>
        </w:tc>
        <w:tc>
          <w:tcPr>
            <w:tcW w:w="7071" w:type="dxa"/>
            <w:tcBorders>
              <w:bottom w:val="single" w:sz="4" w:space="0" w:color="auto"/>
            </w:tcBorders>
          </w:tcPr>
          <w:p w:rsidR="00DA5C94" w:rsidRPr="008E61F4" w:rsidRDefault="00DA5C94" w:rsidP="00CC4C9B">
            <w:pPr>
              <w:contextualSpacing/>
              <w:rPr>
                <w:rFonts w:ascii="Arial" w:hAnsi="Arial" w:cs="Arial"/>
                <w:b/>
                <w:sz w:val="18"/>
                <w:szCs w:val="18"/>
              </w:rPr>
            </w:pPr>
            <w:r w:rsidRPr="008E61F4">
              <w:rPr>
                <w:rFonts w:ascii="Arial" w:eastAsia="Arial" w:hAnsi="Arial" w:cs="Arial"/>
                <w:sz w:val="18"/>
                <w:szCs w:val="18"/>
              </w:rPr>
              <w:t>Planning and management draws on the best available knowledge of the social and ecological context of the area, using an adaptive management framework that anticipates, learns from and responds to change</w:t>
            </w:r>
            <w:r w:rsidR="0078683D">
              <w:rPr>
                <w:rFonts w:ascii="Arial" w:eastAsia="Arial" w:hAnsi="Arial" w:cs="Arial"/>
                <w:sz w:val="18"/>
                <w:szCs w:val="18"/>
              </w:rPr>
              <w:t xml:space="preserve"> in decision-making</w:t>
            </w:r>
            <w:r w:rsidRPr="008E61F4">
              <w:rPr>
                <w:rFonts w:ascii="Arial" w:eastAsia="Arial" w:hAnsi="Arial" w:cs="Arial"/>
                <w:sz w:val="18"/>
                <w:szCs w:val="18"/>
              </w:rPr>
              <w:t>.</w:t>
            </w:r>
          </w:p>
          <w:p w:rsidR="00DA5C94" w:rsidRPr="008E61F4" w:rsidRDefault="00DA5C94" w:rsidP="00CC4C9B">
            <w:pPr>
              <w:ind w:left="372"/>
              <w:contextualSpacing/>
              <w:rPr>
                <w:rFonts w:ascii="Arial" w:hAnsi="Arial" w:cs="Arial"/>
                <w:b/>
                <w:sz w:val="18"/>
                <w:szCs w:val="18"/>
              </w:rPr>
            </w:pPr>
          </w:p>
        </w:tc>
      </w:tr>
      <w:tr w:rsidR="00DA5C94" w:rsidRPr="00CC4C9B" w:rsidTr="00167636">
        <w:tc>
          <w:tcPr>
            <w:tcW w:w="14142" w:type="dxa"/>
            <w:gridSpan w:val="2"/>
            <w:tcBorders>
              <w:bottom w:val="single" w:sz="4" w:space="0" w:color="auto"/>
            </w:tcBorders>
            <w:shd w:val="clear" w:color="auto" w:fill="76923C" w:themeFill="accent3" w:themeFillShade="BF"/>
          </w:tcPr>
          <w:p w:rsidR="00DA5C94" w:rsidRPr="00A24E5F" w:rsidRDefault="00DA5C94" w:rsidP="002D357B">
            <w:pPr>
              <w:pStyle w:val="ListParagraph"/>
              <w:ind w:left="360" w:hanging="360"/>
              <w:rPr>
                <w:rFonts w:ascii="Arial" w:eastAsia="Arial" w:hAnsi="Arial" w:cs="Arial"/>
                <w:b/>
                <w:color w:val="FFFFFF" w:themeColor="background1"/>
                <w:sz w:val="28"/>
                <w:szCs w:val="28"/>
              </w:rPr>
            </w:pPr>
            <w:r w:rsidRPr="00A24E5F">
              <w:rPr>
                <w:rFonts w:ascii="Arial" w:eastAsia="Arial" w:hAnsi="Arial" w:cs="Arial"/>
                <w:b/>
                <w:color w:val="FFFFFF" w:themeColor="background1"/>
                <w:sz w:val="28"/>
                <w:szCs w:val="28"/>
              </w:rPr>
              <w:t>Component 2: SOUND DESIGN AND PLANNING</w:t>
            </w:r>
          </w:p>
          <w:p w:rsidR="00DA5C94" w:rsidRPr="00CC4C9B" w:rsidRDefault="00DA5C94" w:rsidP="002D357B">
            <w:pPr>
              <w:pStyle w:val="ListParagraph"/>
              <w:ind w:left="360" w:hanging="360"/>
              <w:rPr>
                <w:rFonts w:ascii="Arial" w:eastAsia="Arial" w:hAnsi="Arial" w:cs="Arial"/>
                <w:b/>
              </w:rPr>
            </w:pPr>
          </w:p>
        </w:tc>
      </w:tr>
      <w:tr w:rsidR="00167636" w:rsidRPr="00CC4C9B" w:rsidTr="00167636">
        <w:tc>
          <w:tcPr>
            <w:tcW w:w="14142" w:type="dxa"/>
            <w:gridSpan w:val="2"/>
            <w:shd w:val="clear" w:color="auto" w:fill="4F6228" w:themeFill="accent3" w:themeFillShade="80"/>
          </w:tcPr>
          <w:p w:rsidR="00167636" w:rsidRPr="00A24E5F" w:rsidRDefault="00E804E2" w:rsidP="00A24E5F">
            <w:pPr>
              <w:pStyle w:val="NoSpacing"/>
              <w:rPr>
                <w:rFonts w:ascii="Arial" w:eastAsia="Arial" w:hAnsi="Arial" w:cs="Arial"/>
                <w:b/>
                <w:color w:val="FFFFFF" w:themeColor="background1"/>
                <w:sz w:val="24"/>
                <w:szCs w:val="24"/>
              </w:rPr>
            </w:pPr>
            <w:r>
              <w:rPr>
                <w:rFonts w:ascii="Arial" w:hAnsi="Arial" w:cs="Arial"/>
                <w:b/>
                <w:color w:val="FFFFFF" w:themeColor="background1"/>
                <w:sz w:val="24"/>
                <w:szCs w:val="24"/>
              </w:rPr>
              <w:t>Green List sites</w:t>
            </w:r>
            <w:r w:rsidR="00167636" w:rsidRPr="00A24E5F">
              <w:rPr>
                <w:rFonts w:ascii="Arial" w:hAnsi="Arial" w:cs="Arial"/>
                <w:b/>
                <w:color w:val="FFFFFF" w:themeColor="background1"/>
                <w:sz w:val="24"/>
                <w:szCs w:val="24"/>
              </w:rPr>
              <w:t xml:space="preserve"> have clear, long-term conservation goals and objectives, based on a sound understanding of their natural, cultural and social-economic context</w:t>
            </w:r>
          </w:p>
        </w:tc>
      </w:tr>
      <w:tr w:rsidR="00DA5C94" w:rsidRPr="00CC4C9B" w:rsidTr="00E07B22">
        <w:tc>
          <w:tcPr>
            <w:tcW w:w="7071" w:type="dxa"/>
          </w:tcPr>
          <w:p w:rsidR="00DA5C94" w:rsidRPr="0050195A" w:rsidRDefault="00DA5C94" w:rsidP="002D357B">
            <w:pPr>
              <w:pStyle w:val="ListParagraph"/>
              <w:ind w:left="360"/>
              <w:rPr>
                <w:rFonts w:ascii="Arial" w:eastAsia="Arial" w:hAnsi="Arial" w:cs="Arial"/>
                <w:b/>
              </w:rPr>
            </w:pPr>
          </w:p>
          <w:p w:rsidR="00DA5C94" w:rsidRPr="0050195A" w:rsidRDefault="00DA5C94" w:rsidP="002D357B">
            <w:pPr>
              <w:pStyle w:val="ListParagraph"/>
              <w:numPr>
                <w:ilvl w:val="1"/>
                <w:numId w:val="21"/>
              </w:numPr>
              <w:rPr>
                <w:rFonts w:ascii="Arial" w:eastAsia="Arial" w:hAnsi="Arial" w:cs="Arial"/>
                <w:b/>
              </w:rPr>
            </w:pPr>
            <w:r w:rsidRPr="0050195A">
              <w:rPr>
                <w:rFonts w:ascii="Arial" w:eastAsia="Arial" w:hAnsi="Arial" w:cs="Arial"/>
                <w:b/>
              </w:rPr>
              <w:t xml:space="preserve">IDENTIFY MAJOR SITE VALUES </w:t>
            </w:r>
          </w:p>
          <w:p w:rsidR="00DA5C94" w:rsidRPr="0050195A" w:rsidRDefault="00DA5C94" w:rsidP="002D357B">
            <w:pPr>
              <w:pStyle w:val="ListParagraph"/>
              <w:ind w:left="360" w:hanging="360"/>
              <w:rPr>
                <w:rFonts w:ascii="Arial" w:eastAsia="Arial" w:hAnsi="Arial" w:cs="Arial"/>
                <w:b/>
              </w:rPr>
            </w:pPr>
          </w:p>
          <w:p w:rsidR="00DA5C94" w:rsidRPr="0050195A" w:rsidRDefault="00DA5C94" w:rsidP="002D357B">
            <w:pPr>
              <w:pStyle w:val="ListParagraph"/>
              <w:ind w:left="360" w:hanging="360"/>
              <w:rPr>
                <w:rFonts w:ascii="Arial" w:eastAsia="Arial" w:hAnsi="Arial" w:cs="Arial"/>
              </w:rPr>
            </w:pPr>
          </w:p>
        </w:tc>
        <w:tc>
          <w:tcPr>
            <w:tcW w:w="7071" w:type="dxa"/>
          </w:tcPr>
          <w:p w:rsidR="00DA5C94" w:rsidRPr="008E61F4" w:rsidRDefault="00DA5C94" w:rsidP="002D357B">
            <w:pPr>
              <w:pStyle w:val="ListParagraph"/>
              <w:ind w:left="360" w:hanging="360"/>
              <w:rPr>
                <w:rFonts w:ascii="Arial" w:eastAsia="Arial" w:hAnsi="Arial" w:cs="Arial"/>
                <w:sz w:val="18"/>
                <w:szCs w:val="18"/>
              </w:rPr>
            </w:pPr>
          </w:p>
          <w:p w:rsidR="00DA5C94" w:rsidRPr="008E61F4" w:rsidRDefault="00DA5C94" w:rsidP="002D357B">
            <w:pPr>
              <w:pStyle w:val="ListParagraph"/>
              <w:ind w:left="360" w:hanging="360"/>
              <w:rPr>
                <w:rFonts w:ascii="Arial" w:eastAsia="Arial" w:hAnsi="Arial" w:cs="Arial"/>
                <w:sz w:val="18"/>
                <w:szCs w:val="18"/>
              </w:rPr>
            </w:pPr>
            <w:r w:rsidRPr="008E61F4">
              <w:rPr>
                <w:rFonts w:ascii="Arial" w:eastAsia="Arial" w:hAnsi="Arial" w:cs="Arial"/>
                <w:sz w:val="18"/>
                <w:szCs w:val="18"/>
              </w:rPr>
              <w:t xml:space="preserve">2.1A The </w:t>
            </w:r>
            <w:r w:rsidR="00E804E2">
              <w:rPr>
                <w:rFonts w:ascii="Arial" w:eastAsia="Arial" w:hAnsi="Arial" w:cs="Arial"/>
                <w:sz w:val="18"/>
                <w:szCs w:val="18"/>
              </w:rPr>
              <w:t>site</w:t>
            </w:r>
            <w:r w:rsidRPr="008E61F4">
              <w:rPr>
                <w:rFonts w:ascii="Arial" w:eastAsia="Arial" w:hAnsi="Arial" w:cs="Arial"/>
                <w:sz w:val="18"/>
                <w:szCs w:val="18"/>
              </w:rPr>
              <w:t>s major nature values are identified</w:t>
            </w:r>
          </w:p>
          <w:p w:rsidR="00DA5C94" w:rsidRPr="008E61F4" w:rsidRDefault="00DA5C94" w:rsidP="002D357B">
            <w:pPr>
              <w:pStyle w:val="ListParagraph"/>
              <w:ind w:left="360" w:hanging="360"/>
              <w:rPr>
                <w:rFonts w:ascii="Arial" w:eastAsia="Arial" w:hAnsi="Arial" w:cs="Arial"/>
                <w:sz w:val="18"/>
                <w:szCs w:val="18"/>
              </w:rPr>
            </w:pPr>
            <w:r w:rsidRPr="008E61F4">
              <w:rPr>
                <w:rFonts w:ascii="Arial" w:eastAsia="Arial" w:hAnsi="Arial" w:cs="Arial"/>
                <w:sz w:val="18"/>
                <w:szCs w:val="18"/>
              </w:rPr>
              <w:t xml:space="preserve">2.1B The </w:t>
            </w:r>
            <w:r w:rsidR="00E804E2">
              <w:rPr>
                <w:rFonts w:ascii="Arial" w:eastAsia="Arial" w:hAnsi="Arial" w:cs="Arial"/>
                <w:sz w:val="18"/>
                <w:szCs w:val="18"/>
              </w:rPr>
              <w:t>site</w:t>
            </w:r>
            <w:r w:rsidRPr="008E61F4">
              <w:rPr>
                <w:rFonts w:ascii="Arial" w:eastAsia="Arial" w:hAnsi="Arial" w:cs="Arial"/>
                <w:sz w:val="18"/>
                <w:szCs w:val="18"/>
              </w:rPr>
              <w:t>’s major ecosystem service values are identified</w:t>
            </w:r>
          </w:p>
          <w:p w:rsidR="00DA5C94" w:rsidRPr="008E61F4" w:rsidRDefault="00DA5C94" w:rsidP="002D357B">
            <w:pPr>
              <w:pStyle w:val="ListParagraph"/>
              <w:ind w:left="360" w:hanging="360"/>
              <w:rPr>
                <w:rFonts w:ascii="Arial" w:eastAsia="Arial" w:hAnsi="Arial" w:cs="Arial"/>
                <w:sz w:val="18"/>
                <w:szCs w:val="18"/>
              </w:rPr>
            </w:pPr>
            <w:r w:rsidRPr="008E61F4">
              <w:rPr>
                <w:rFonts w:ascii="Arial" w:eastAsia="Arial" w:hAnsi="Arial" w:cs="Arial"/>
                <w:sz w:val="18"/>
                <w:szCs w:val="18"/>
              </w:rPr>
              <w:t xml:space="preserve">2.1C The </w:t>
            </w:r>
            <w:r w:rsidR="00E804E2">
              <w:rPr>
                <w:rFonts w:ascii="Arial" w:eastAsia="Arial" w:hAnsi="Arial" w:cs="Arial"/>
                <w:sz w:val="18"/>
                <w:szCs w:val="18"/>
              </w:rPr>
              <w:t>site</w:t>
            </w:r>
            <w:r w:rsidRPr="008E61F4">
              <w:rPr>
                <w:rFonts w:ascii="Arial" w:eastAsia="Arial" w:hAnsi="Arial" w:cs="Arial"/>
                <w:sz w:val="18"/>
                <w:szCs w:val="18"/>
              </w:rPr>
              <w:t>’s major cultural values are identified</w:t>
            </w:r>
          </w:p>
          <w:p w:rsidR="00DA5C94" w:rsidRPr="008E61F4" w:rsidRDefault="00DA5C94" w:rsidP="002D357B">
            <w:pPr>
              <w:pStyle w:val="ListParagraph"/>
              <w:ind w:left="360" w:hanging="360"/>
              <w:rPr>
                <w:rFonts w:ascii="Arial" w:eastAsia="Arial" w:hAnsi="Arial" w:cs="Arial"/>
                <w:b/>
                <w:sz w:val="18"/>
                <w:szCs w:val="18"/>
              </w:rPr>
            </w:pPr>
          </w:p>
        </w:tc>
      </w:tr>
      <w:tr w:rsidR="00DA5C94" w:rsidRPr="00CC4C9B" w:rsidTr="0021793E">
        <w:tc>
          <w:tcPr>
            <w:tcW w:w="7071" w:type="dxa"/>
          </w:tcPr>
          <w:p w:rsidR="00DA5C94" w:rsidRPr="0050195A" w:rsidRDefault="00DA5C94" w:rsidP="002D357B">
            <w:pPr>
              <w:pStyle w:val="ListParagraph"/>
              <w:ind w:left="360" w:hanging="360"/>
              <w:rPr>
                <w:rFonts w:ascii="Arial" w:eastAsia="Arial" w:hAnsi="Arial" w:cs="Arial"/>
                <w:b/>
              </w:rPr>
            </w:pPr>
          </w:p>
          <w:p w:rsidR="00DA5C94" w:rsidRPr="0050195A" w:rsidRDefault="00DA5C94" w:rsidP="00DA5C94">
            <w:pPr>
              <w:pStyle w:val="ListParagraph"/>
              <w:numPr>
                <w:ilvl w:val="1"/>
                <w:numId w:val="21"/>
              </w:numPr>
              <w:rPr>
                <w:rFonts w:ascii="Arial" w:eastAsia="Arial" w:hAnsi="Arial" w:cs="Arial"/>
                <w:b/>
              </w:rPr>
            </w:pPr>
            <w:r w:rsidRPr="0050195A">
              <w:rPr>
                <w:rFonts w:ascii="Arial" w:eastAsia="Arial" w:hAnsi="Arial" w:cs="Arial"/>
                <w:b/>
              </w:rPr>
              <w:t xml:space="preserve">DESIGN </w:t>
            </w:r>
            <w:r w:rsidR="00851148">
              <w:rPr>
                <w:rFonts w:ascii="Arial" w:eastAsia="Arial" w:hAnsi="Arial" w:cs="Arial"/>
                <w:b/>
              </w:rPr>
              <w:t xml:space="preserve">FOR </w:t>
            </w:r>
            <w:r w:rsidRPr="0050195A">
              <w:rPr>
                <w:rFonts w:ascii="Arial" w:eastAsia="Arial" w:hAnsi="Arial" w:cs="Arial"/>
                <w:b/>
              </w:rPr>
              <w:t>LONG-TERM CONSERVATION OF MAJOR SITE VALUES</w:t>
            </w:r>
          </w:p>
          <w:p w:rsidR="00DA5C94" w:rsidRPr="0050195A" w:rsidRDefault="00DA5C94" w:rsidP="00DA5C94">
            <w:pPr>
              <w:pStyle w:val="ListParagraph"/>
              <w:ind w:left="360"/>
              <w:rPr>
                <w:rFonts w:ascii="Arial" w:eastAsia="Arial" w:hAnsi="Arial" w:cs="Arial"/>
                <w:b/>
              </w:rPr>
            </w:pPr>
          </w:p>
        </w:tc>
        <w:tc>
          <w:tcPr>
            <w:tcW w:w="7071" w:type="dxa"/>
          </w:tcPr>
          <w:p w:rsidR="00DA5C94" w:rsidRPr="008E61F4" w:rsidRDefault="00DA5C94" w:rsidP="00DA5C94">
            <w:pPr>
              <w:pStyle w:val="NoSpacing"/>
              <w:rPr>
                <w:rFonts w:ascii="Arial" w:hAnsi="Arial" w:cs="Arial"/>
                <w:sz w:val="18"/>
                <w:szCs w:val="18"/>
              </w:rPr>
            </w:pPr>
          </w:p>
          <w:p w:rsidR="00DA5C94" w:rsidRPr="008E61F4" w:rsidRDefault="00DA5C94" w:rsidP="00DA5C94">
            <w:pPr>
              <w:pStyle w:val="NoSpacing"/>
              <w:rPr>
                <w:rFonts w:ascii="Arial" w:hAnsi="Arial" w:cs="Arial"/>
                <w:sz w:val="18"/>
                <w:szCs w:val="18"/>
              </w:rPr>
            </w:pPr>
            <w:r w:rsidRPr="008E61F4">
              <w:rPr>
                <w:rFonts w:ascii="Arial" w:hAnsi="Arial" w:cs="Arial"/>
                <w:sz w:val="18"/>
                <w:szCs w:val="18"/>
              </w:rPr>
              <w:t>The characteristics of the area support long-term maintenance of the major site values</w:t>
            </w:r>
          </w:p>
          <w:p w:rsidR="00DA5C94" w:rsidRPr="008E61F4" w:rsidRDefault="00DA5C94" w:rsidP="002D357B">
            <w:pPr>
              <w:pStyle w:val="ListParagraph"/>
              <w:ind w:left="360" w:hanging="360"/>
              <w:rPr>
                <w:rFonts w:ascii="Arial" w:eastAsia="Arial" w:hAnsi="Arial" w:cs="Arial"/>
                <w:b/>
                <w:sz w:val="18"/>
                <w:szCs w:val="18"/>
              </w:rPr>
            </w:pPr>
          </w:p>
        </w:tc>
      </w:tr>
      <w:tr w:rsidR="00DA5C94" w:rsidRPr="00063D79" w:rsidTr="006D2B02">
        <w:tc>
          <w:tcPr>
            <w:tcW w:w="7071" w:type="dxa"/>
          </w:tcPr>
          <w:p w:rsidR="00DA5C94" w:rsidRPr="0050195A" w:rsidRDefault="00DA5C94" w:rsidP="002D357B">
            <w:pPr>
              <w:pStyle w:val="ListParagraph"/>
              <w:ind w:left="360" w:hanging="360"/>
              <w:rPr>
                <w:rFonts w:ascii="Arial" w:eastAsia="Arial" w:hAnsi="Arial" w:cs="Arial"/>
                <w:b/>
              </w:rPr>
            </w:pPr>
          </w:p>
          <w:p w:rsidR="00DA5C94" w:rsidRPr="0050195A" w:rsidRDefault="00DA5C94" w:rsidP="002D357B">
            <w:pPr>
              <w:pStyle w:val="ListParagraph"/>
              <w:ind w:left="360" w:hanging="360"/>
              <w:rPr>
                <w:rFonts w:ascii="Arial" w:eastAsia="Arial" w:hAnsi="Arial" w:cs="Arial"/>
                <w:b/>
              </w:rPr>
            </w:pPr>
            <w:r w:rsidRPr="0050195A">
              <w:rPr>
                <w:rFonts w:ascii="Arial" w:eastAsia="Arial" w:hAnsi="Arial" w:cs="Arial"/>
                <w:b/>
              </w:rPr>
              <w:t>2.3 UNDERSTAND THREATS AND CHALLENGES TO MAJOR SITE VALUES</w:t>
            </w:r>
          </w:p>
        </w:tc>
        <w:tc>
          <w:tcPr>
            <w:tcW w:w="7071" w:type="dxa"/>
          </w:tcPr>
          <w:p w:rsidR="00DA5C94" w:rsidRPr="008E61F4" w:rsidRDefault="00DA5C94" w:rsidP="00DA5C94">
            <w:pPr>
              <w:pStyle w:val="NoSpacing"/>
              <w:rPr>
                <w:rFonts w:ascii="Arial" w:hAnsi="Arial" w:cs="Arial"/>
                <w:sz w:val="18"/>
                <w:szCs w:val="18"/>
              </w:rPr>
            </w:pPr>
          </w:p>
          <w:p w:rsidR="00DA5C94" w:rsidRPr="008E61F4" w:rsidRDefault="00972B52" w:rsidP="00DA5C94">
            <w:pPr>
              <w:pStyle w:val="NoSpacing"/>
              <w:rPr>
                <w:rFonts w:ascii="Arial" w:hAnsi="Arial" w:cs="Arial"/>
                <w:b/>
                <w:sz w:val="18"/>
                <w:szCs w:val="18"/>
              </w:rPr>
            </w:pPr>
            <w:r>
              <w:rPr>
                <w:rFonts w:ascii="Arial" w:hAnsi="Arial" w:cs="Arial"/>
                <w:sz w:val="18"/>
                <w:szCs w:val="18"/>
              </w:rPr>
              <w:t xml:space="preserve">Threats and </w:t>
            </w:r>
            <w:r w:rsidR="00DA5C94" w:rsidRPr="008E61F4">
              <w:rPr>
                <w:rFonts w:ascii="Arial" w:hAnsi="Arial" w:cs="Arial"/>
                <w:sz w:val="18"/>
                <w:szCs w:val="18"/>
              </w:rPr>
              <w:t>challenges to major site values have been described in sufficient detail to support effective planning and management</w:t>
            </w:r>
          </w:p>
          <w:p w:rsidR="00DA5C94" w:rsidRPr="008E61F4" w:rsidRDefault="00DA5C94" w:rsidP="00DA5C94">
            <w:pPr>
              <w:pStyle w:val="NoSpacing"/>
              <w:rPr>
                <w:rFonts w:ascii="Arial" w:hAnsi="Arial" w:cs="Arial"/>
                <w:b/>
                <w:sz w:val="18"/>
                <w:szCs w:val="18"/>
              </w:rPr>
            </w:pPr>
          </w:p>
        </w:tc>
      </w:tr>
      <w:tr w:rsidR="00DA5C94" w:rsidRPr="00063D79" w:rsidTr="00CD5377">
        <w:tc>
          <w:tcPr>
            <w:tcW w:w="7071" w:type="dxa"/>
            <w:tcBorders>
              <w:bottom w:val="single" w:sz="4" w:space="0" w:color="auto"/>
            </w:tcBorders>
          </w:tcPr>
          <w:p w:rsidR="00DA5C94" w:rsidRPr="0050195A" w:rsidRDefault="00DA5C94" w:rsidP="002D357B">
            <w:pPr>
              <w:pStyle w:val="ListParagraph"/>
              <w:ind w:left="360" w:hanging="360"/>
              <w:rPr>
                <w:rFonts w:ascii="Arial" w:eastAsia="Arial" w:hAnsi="Arial" w:cs="Arial"/>
                <w:b/>
              </w:rPr>
            </w:pPr>
          </w:p>
          <w:p w:rsidR="00DA5C94" w:rsidRPr="0050195A" w:rsidRDefault="00DA5C94" w:rsidP="002D357B">
            <w:pPr>
              <w:pStyle w:val="ListParagraph"/>
              <w:ind w:left="360" w:hanging="360"/>
              <w:rPr>
                <w:rFonts w:ascii="Arial" w:eastAsia="Arial" w:hAnsi="Arial" w:cs="Arial"/>
                <w:b/>
              </w:rPr>
            </w:pPr>
            <w:r w:rsidRPr="0050195A">
              <w:rPr>
                <w:rFonts w:ascii="Arial" w:eastAsia="Arial" w:hAnsi="Arial" w:cs="Arial"/>
                <w:b/>
              </w:rPr>
              <w:t xml:space="preserve">2.4 UNDERSTAND THE SOCIAL AND ECONOMIC CONTEXT </w:t>
            </w:r>
          </w:p>
        </w:tc>
        <w:tc>
          <w:tcPr>
            <w:tcW w:w="7071" w:type="dxa"/>
            <w:tcBorders>
              <w:bottom w:val="single" w:sz="4" w:space="0" w:color="auto"/>
            </w:tcBorders>
          </w:tcPr>
          <w:p w:rsidR="00DA5C94" w:rsidRPr="008E61F4" w:rsidRDefault="00DA5C94" w:rsidP="002D357B">
            <w:pPr>
              <w:pStyle w:val="NoSpacing"/>
              <w:rPr>
                <w:rFonts w:ascii="Arial" w:hAnsi="Arial" w:cs="Arial"/>
                <w:sz w:val="18"/>
                <w:szCs w:val="18"/>
              </w:rPr>
            </w:pPr>
          </w:p>
          <w:p w:rsidR="00DA5C94" w:rsidRPr="008E61F4" w:rsidRDefault="00DA5C94" w:rsidP="002D357B">
            <w:pPr>
              <w:pStyle w:val="NoSpacing"/>
              <w:rPr>
                <w:rFonts w:ascii="Arial" w:hAnsi="Arial" w:cs="Arial"/>
                <w:sz w:val="18"/>
                <w:szCs w:val="18"/>
              </w:rPr>
            </w:pPr>
            <w:r w:rsidRPr="008E61F4">
              <w:rPr>
                <w:rFonts w:ascii="Arial" w:hAnsi="Arial" w:cs="Arial"/>
                <w:sz w:val="18"/>
                <w:szCs w:val="18"/>
              </w:rPr>
              <w:t xml:space="preserve">The social and economic context of the area including the positive and negative social and economic impacts of management is understood and </w:t>
            </w:r>
            <w:r w:rsidR="00972B52">
              <w:rPr>
                <w:rFonts w:ascii="Arial" w:hAnsi="Arial" w:cs="Arial"/>
                <w:sz w:val="18"/>
                <w:szCs w:val="18"/>
              </w:rPr>
              <w:t>reflected</w:t>
            </w:r>
            <w:r w:rsidRPr="008E61F4">
              <w:rPr>
                <w:rFonts w:ascii="Arial" w:hAnsi="Arial" w:cs="Arial"/>
                <w:sz w:val="18"/>
                <w:szCs w:val="18"/>
              </w:rPr>
              <w:t xml:space="preserve"> in site management goals and objectives</w:t>
            </w:r>
          </w:p>
          <w:p w:rsidR="00DA5C94" w:rsidRPr="008E61F4" w:rsidRDefault="00DA5C94" w:rsidP="002D357B">
            <w:pPr>
              <w:pStyle w:val="ListParagraph"/>
              <w:ind w:left="360" w:hanging="360"/>
              <w:rPr>
                <w:rFonts w:ascii="Arial" w:eastAsia="Arial" w:hAnsi="Arial" w:cs="Arial"/>
                <w:b/>
                <w:sz w:val="18"/>
                <w:szCs w:val="18"/>
              </w:rPr>
            </w:pPr>
          </w:p>
        </w:tc>
      </w:tr>
      <w:tr w:rsidR="00DA5C94" w:rsidRPr="00B42B0A" w:rsidTr="00167636">
        <w:tc>
          <w:tcPr>
            <w:tcW w:w="14142" w:type="dxa"/>
            <w:gridSpan w:val="2"/>
            <w:tcBorders>
              <w:bottom w:val="single" w:sz="4" w:space="0" w:color="auto"/>
            </w:tcBorders>
            <w:shd w:val="clear" w:color="auto" w:fill="76923C" w:themeFill="accent3" w:themeFillShade="BF"/>
          </w:tcPr>
          <w:p w:rsidR="00DA5C94" w:rsidRPr="00167636" w:rsidRDefault="00DA5C94" w:rsidP="002D357B">
            <w:pPr>
              <w:keepNext/>
              <w:keepLines/>
              <w:tabs>
                <w:tab w:val="left" w:pos="4423"/>
              </w:tabs>
              <w:spacing w:before="200"/>
              <w:contextualSpacing/>
              <w:rPr>
                <w:rFonts w:ascii="Arial" w:eastAsia="Arial" w:hAnsi="Arial" w:cs="Arial"/>
                <w:b/>
                <w:color w:val="FFFFFF" w:themeColor="background1"/>
                <w:sz w:val="28"/>
                <w:szCs w:val="28"/>
              </w:rPr>
            </w:pPr>
            <w:r w:rsidRPr="00167636">
              <w:rPr>
                <w:rFonts w:ascii="Arial" w:eastAsia="Arial" w:hAnsi="Arial" w:cs="Arial"/>
                <w:b/>
                <w:color w:val="FFFFFF" w:themeColor="background1"/>
                <w:sz w:val="28"/>
                <w:szCs w:val="28"/>
              </w:rPr>
              <w:lastRenderedPageBreak/>
              <w:t>Component 3: EFFECTIVE MANAGEMENT</w:t>
            </w:r>
          </w:p>
          <w:p w:rsidR="00DA5C94" w:rsidRPr="00167636" w:rsidRDefault="00DA5C94" w:rsidP="002D357B">
            <w:pPr>
              <w:contextualSpacing/>
              <w:rPr>
                <w:rFonts w:ascii="Arial" w:hAnsi="Arial" w:cs="Arial"/>
                <w:b/>
                <w:color w:val="FFFFFF" w:themeColor="background1"/>
              </w:rPr>
            </w:pPr>
          </w:p>
        </w:tc>
      </w:tr>
      <w:tr w:rsidR="00167636" w:rsidRPr="00167636" w:rsidTr="00167636">
        <w:tc>
          <w:tcPr>
            <w:tcW w:w="14142" w:type="dxa"/>
            <w:gridSpan w:val="2"/>
            <w:shd w:val="clear" w:color="auto" w:fill="632423" w:themeFill="accent2" w:themeFillShade="80"/>
          </w:tcPr>
          <w:p w:rsidR="00167636" w:rsidRPr="00167636" w:rsidRDefault="00E804E2" w:rsidP="002D357B">
            <w:pPr>
              <w:keepNext/>
              <w:keepLines/>
              <w:tabs>
                <w:tab w:val="left" w:pos="4423"/>
              </w:tabs>
              <w:spacing w:before="200"/>
              <w:contextualSpacing/>
              <w:rPr>
                <w:rFonts w:ascii="Arial" w:eastAsia="Arial" w:hAnsi="Arial" w:cs="Arial"/>
                <w:color w:val="FFFFFF" w:themeColor="background1"/>
                <w:sz w:val="28"/>
                <w:szCs w:val="28"/>
              </w:rPr>
            </w:pPr>
            <w:r>
              <w:rPr>
                <w:rFonts w:ascii="Arial" w:eastAsia="Arial" w:hAnsi="Arial" w:cs="Arial"/>
                <w:b/>
                <w:color w:val="FFFFFF" w:themeColor="background1"/>
                <w:sz w:val="24"/>
                <w:szCs w:val="24"/>
              </w:rPr>
              <w:t>Green List sites</w:t>
            </w:r>
            <w:r w:rsidR="00167636" w:rsidRPr="00167636">
              <w:rPr>
                <w:rFonts w:ascii="Arial" w:eastAsia="Arial" w:hAnsi="Arial" w:cs="Arial"/>
                <w:b/>
                <w:color w:val="FFFFFF" w:themeColor="background1"/>
                <w:sz w:val="24"/>
                <w:szCs w:val="24"/>
              </w:rPr>
              <w:t xml:space="preserve"> are managed effectively</w:t>
            </w:r>
          </w:p>
        </w:tc>
      </w:tr>
      <w:tr w:rsidR="00AF2683" w:rsidRPr="00B42B0A" w:rsidTr="00C51497">
        <w:trPr>
          <w:trHeight w:val="1108"/>
        </w:trPr>
        <w:tc>
          <w:tcPr>
            <w:tcW w:w="7071" w:type="dxa"/>
          </w:tcPr>
          <w:p w:rsidR="00AF2683" w:rsidRPr="0050195A" w:rsidRDefault="00AF2683" w:rsidP="002D357B">
            <w:pPr>
              <w:contextualSpacing/>
              <w:rPr>
                <w:rFonts w:ascii="Arial" w:eastAsia="Arial" w:hAnsi="Arial" w:cs="Arial"/>
                <w:b/>
              </w:rPr>
            </w:pPr>
          </w:p>
          <w:p w:rsidR="00AF2683" w:rsidRPr="0050195A" w:rsidRDefault="00AF2683" w:rsidP="002D357B">
            <w:pPr>
              <w:contextualSpacing/>
              <w:rPr>
                <w:rFonts w:ascii="Arial" w:eastAsia="Arial" w:hAnsi="Arial" w:cs="Arial"/>
                <w:b/>
              </w:rPr>
            </w:pPr>
            <w:r w:rsidRPr="0050195A">
              <w:rPr>
                <w:rFonts w:ascii="Arial" w:eastAsia="Arial" w:hAnsi="Arial" w:cs="Arial"/>
                <w:b/>
              </w:rPr>
              <w:t xml:space="preserve">3.1 DEVELOP AND IMPLEMENT </w:t>
            </w:r>
            <w:r w:rsidR="00B17137">
              <w:rPr>
                <w:rFonts w:ascii="Arial" w:eastAsia="Arial" w:hAnsi="Arial" w:cs="Arial"/>
                <w:b/>
              </w:rPr>
              <w:t xml:space="preserve">A </w:t>
            </w:r>
            <w:r w:rsidRPr="0050195A">
              <w:rPr>
                <w:rFonts w:ascii="Arial" w:eastAsia="Arial" w:hAnsi="Arial" w:cs="Arial"/>
                <w:b/>
              </w:rPr>
              <w:t xml:space="preserve">LONG-TERM MANAGEMENT </w:t>
            </w:r>
            <w:r w:rsidR="007B2227" w:rsidRPr="0050195A">
              <w:rPr>
                <w:rFonts w:ascii="Arial" w:eastAsia="Arial" w:hAnsi="Arial" w:cs="Arial"/>
                <w:b/>
              </w:rPr>
              <w:t>STRATEGY</w:t>
            </w:r>
            <w:r w:rsidRPr="0050195A">
              <w:rPr>
                <w:rFonts w:ascii="Arial" w:eastAsia="Arial" w:hAnsi="Arial" w:cs="Arial"/>
                <w:b/>
              </w:rPr>
              <w:t xml:space="preserve"> </w:t>
            </w:r>
          </w:p>
          <w:p w:rsidR="00AF2683" w:rsidRPr="0050195A" w:rsidRDefault="00AF2683" w:rsidP="002D357B">
            <w:pPr>
              <w:contextualSpacing/>
              <w:rPr>
                <w:rFonts w:ascii="Arial" w:hAnsi="Arial" w:cs="Arial"/>
                <w:b/>
              </w:rPr>
            </w:pPr>
          </w:p>
          <w:p w:rsidR="00AF2683" w:rsidRPr="0050195A" w:rsidRDefault="00AF2683" w:rsidP="00AF2683">
            <w:pPr>
              <w:contextualSpacing/>
              <w:rPr>
                <w:rFonts w:ascii="Arial" w:eastAsia="Arial" w:hAnsi="Arial" w:cs="Arial"/>
                <w:b/>
                <w:i/>
              </w:rPr>
            </w:pPr>
          </w:p>
        </w:tc>
        <w:tc>
          <w:tcPr>
            <w:tcW w:w="7071" w:type="dxa"/>
          </w:tcPr>
          <w:p w:rsidR="00AF2683" w:rsidRDefault="00AF2683" w:rsidP="00AF2683">
            <w:pPr>
              <w:contextualSpacing/>
              <w:rPr>
                <w:rFonts w:ascii="Arial" w:eastAsia="Arial" w:hAnsi="Arial" w:cs="Arial"/>
                <w:sz w:val="18"/>
                <w:szCs w:val="18"/>
              </w:rPr>
            </w:pPr>
          </w:p>
          <w:p w:rsidR="00AF2683" w:rsidRPr="008E61F4" w:rsidRDefault="00AF2683" w:rsidP="00B17137">
            <w:pPr>
              <w:contextualSpacing/>
              <w:rPr>
                <w:rFonts w:ascii="Arial" w:hAnsi="Arial" w:cs="Arial"/>
                <w:b/>
                <w:sz w:val="18"/>
                <w:szCs w:val="18"/>
              </w:rPr>
            </w:pPr>
            <w:r w:rsidRPr="008E61F4">
              <w:rPr>
                <w:rFonts w:ascii="Arial" w:eastAsia="Arial" w:hAnsi="Arial" w:cs="Arial"/>
                <w:sz w:val="18"/>
                <w:szCs w:val="18"/>
              </w:rPr>
              <w:t xml:space="preserve">The site </w:t>
            </w:r>
            <w:r w:rsidR="007B2227">
              <w:rPr>
                <w:rFonts w:ascii="Arial" w:eastAsia="Arial" w:hAnsi="Arial" w:cs="Arial"/>
                <w:sz w:val="18"/>
                <w:szCs w:val="18"/>
              </w:rPr>
              <w:t>has a long-term strategy that</w:t>
            </w:r>
            <w:r w:rsidR="007B2227" w:rsidRPr="008E61F4">
              <w:rPr>
                <w:rFonts w:ascii="Arial" w:eastAsia="Arial" w:hAnsi="Arial" w:cs="Arial"/>
                <w:sz w:val="18"/>
                <w:szCs w:val="18"/>
              </w:rPr>
              <w:t xml:space="preserve"> provides a clear explanation of the overall goals and objectives of management (explicitly </w:t>
            </w:r>
            <w:r w:rsidR="00B17137">
              <w:rPr>
                <w:rFonts w:ascii="Arial" w:eastAsia="Arial" w:hAnsi="Arial" w:cs="Arial"/>
                <w:sz w:val="18"/>
                <w:szCs w:val="18"/>
              </w:rPr>
              <w:t xml:space="preserve">including </w:t>
            </w:r>
            <w:r w:rsidR="007B2227" w:rsidRPr="008E61F4">
              <w:rPr>
                <w:rFonts w:ascii="Arial" w:eastAsia="Arial" w:hAnsi="Arial" w:cs="Arial"/>
                <w:sz w:val="18"/>
                <w:szCs w:val="18"/>
              </w:rPr>
              <w:t>the conservation of the area’s major values and achievement of its social and economic goals and objectives).</w:t>
            </w:r>
            <w:r w:rsidR="007B2227">
              <w:rPr>
                <w:rFonts w:ascii="Arial" w:eastAsia="Arial" w:hAnsi="Arial" w:cs="Arial"/>
                <w:sz w:val="18"/>
                <w:szCs w:val="18"/>
              </w:rPr>
              <w:t xml:space="preserve"> This is reflected in</w:t>
            </w:r>
            <w:r w:rsidRPr="008E61F4">
              <w:rPr>
                <w:rFonts w:ascii="Arial" w:eastAsia="Arial" w:hAnsi="Arial" w:cs="Arial"/>
                <w:sz w:val="18"/>
                <w:szCs w:val="18"/>
              </w:rPr>
              <w:t xml:space="preserve"> an up-to-date management plan (or its functional equivalent) </w:t>
            </w:r>
          </w:p>
        </w:tc>
      </w:tr>
      <w:tr w:rsidR="00AF2683" w:rsidRPr="00B42B0A" w:rsidTr="007B2227">
        <w:trPr>
          <w:trHeight w:val="840"/>
        </w:trPr>
        <w:tc>
          <w:tcPr>
            <w:tcW w:w="7071" w:type="dxa"/>
          </w:tcPr>
          <w:p w:rsidR="007B2227" w:rsidRPr="0050195A" w:rsidRDefault="007B2227" w:rsidP="00AF2683">
            <w:pPr>
              <w:contextualSpacing/>
              <w:rPr>
                <w:rFonts w:ascii="Arial" w:eastAsia="Arial" w:hAnsi="Arial" w:cs="Arial"/>
                <w:b/>
                <w:i/>
              </w:rPr>
            </w:pPr>
          </w:p>
          <w:p w:rsidR="00AF2683" w:rsidRPr="0050195A" w:rsidRDefault="00AF2683" w:rsidP="00AF2683">
            <w:pPr>
              <w:contextualSpacing/>
              <w:rPr>
                <w:rFonts w:ascii="Arial" w:eastAsia="Arial" w:hAnsi="Arial" w:cs="Arial"/>
                <w:b/>
                <w:i/>
              </w:rPr>
            </w:pPr>
            <w:r w:rsidRPr="0050195A">
              <w:rPr>
                <w:rFonts w:ascii="Arial" w:eastAsia="Arial" w:hAnsi="Arial" w:cs="Arial"/>
                <w:b/>
                <w:i/>
              </w:rPr>
              <w:t>3.1A PROVIDE CLEAR AND APPROPRIATE MANAGEMENT DIRECTIONS</w:t>
            </w:r>
          </w:p>
          <w:p w:rsidR="00AF2683" w:rsidRPr="0050195A" w:rsidRDefault="00AF2683" w:rsidP="002D357B">
            <w:pPr>
              <w:contextualSpacing/>
              <w:rPr>
                <w:rFonts w:ascii="Arial" w:eastAsia="Arial" w:hAnsi="Arial" w:cs="Arial"/>
                <w:b/>
              </w:rPr>
            </w:pPr>
          </w:p>
        </w:tc>
        <w:tc>
          <w:tcPr>
            <w:tcW w:w="7071" w:type="dxa"/>
          </w:tcPr>
          <w:p w:rsidR="007B2227" w:rsidRDefault="007B2227" w:rsidP="00AF2683">
            <w:pPr>
              <w:contextualSpacing/>
              <w:rPr>
                <w:rFonts w:ascii="Arial" w:eastAsia="Arial" w:hAnsi="Arial" w:cs="Arial"/>
                <w:sz w:val="18"/>
                <w:szCs w:val="18"/>
              </w:rPr>
            </w:pPr>
          </w:p>
          <w:p w:rsidR="00AF2683" w:rsidRPr="008E61F4" w:rsidRDefault="00AF2683" w:rsidP="00AF2683">
            <w:pPr>
              <w:contextualSpacing/>
              <w:rPr>
                <w:rFonts w:ascii="Arial" w:eastAsia="Arial" w:hAnsi="Arial" w:cs="Arial"/>
                <w:sz w:val="18"/>
                <w:szCs w:val="18"/>
              </w:rPr>
            </w:pPr>
            <w:r w:rsidRPr="008E61F4">
              <w:rPr>
                <w:rFonts w:ascii="Arial" w:eastAsia="Arial" w:hAnsi="Arial" w:cs="Arial"/>
                <w:sz w:val="18"/>
                <w:szCs w:val="18"/>
              </w:rPr>
              <w:t>The strategies and actions specified in plans, policies and procedures are appropriate and sufficient to achieve the planned goals and objectives for the area.</w:t>
            </w:r>
          </w:p>
          <w:p w:rsidR="00AF2683" w:rsidRPr="008E61F4" w:rsidRDefault="00AF2683" w:rsidP="002D357B">
            <w:pPr>
              <w:contextualSpacing/>
              <w:rPr>
                <w:rFonts w:ascii="Arial" w:eastAsia="Arial" w:hAnsi="Arial" w:cs="Arial"/>
                <w:b/>
                <w:sz w:val="18"/>
                <w:szCs w:val="18"/>
              </w:rPr>
            </w:pPr>
          </w:p>
        </w:tc>
      </w:tr>
      <w:tr w:rsidR="00AF2683" w:rsidRPr="00B42B0A" w:rsidTr="007B2227">
        <w:trPr>
          <w:trHeight w:val="1830"/>
        </w:trPr>
        <w:tc>
          <w:tcPr>
            <w:tcW w:w="7071" w:type="dxa"/>
          </w:tcPr>
          <w:p w:rsidR="007B2227" w:rsidRPr="0050195A" w:rsidRDefault="007B2227" w:rsidP="00AF2683">
            <w:pPr>
              <w:contextualSpacing/>
              <w:rPr>
                <w:rFonts w:ascii="Arial" w:eastAsia="Arial" w:hAnsi="Arial" w:cs="Arial"/>
                <w:b/>
                <w:i/>
              </w:rPr>
            </w:pPr>
          </w:p>
          <w:p w:rsidR="00AF2683" w:rsidRPr="0050195A" w:rsidRDefault="00AF2683" w:rsidP="00AF2683">
            <w:pPr>
              <w:contextualSpacing/>
              <w:rPr>
                <w:rFonts w:ascii="Arial" w:hAnsi="Arial" w:cs="Arial"/>
                <w:b/>
              </w:rPr>
            </w:pPr>
            <w:r w:rsidRPr="0050195A">
              <w:rPr>
                <w:rFonts w:ascii="Arial" w:eastAsia="Arial" w:hAnsi="Arial" w:cs="Arial"/>
                <w:b/>
                <w:i/>
              </w:rPr>
              <w:t>3.1B DEMONSTRATE ADEQUATE CAPACITY TO MANAGE EFFECTIVELY</w:t>
            </w:r>
          </w:p>
          <w:p w:rsidR="00AF2683" w:rsidRPr="0050195A" w:rsidRDefault="00AF2683" w:rsidP="002D357B">
            <w:pPr>
              <w:contextualSpacing/>
              <w:rPr>
                <w:rFonts w:ascii="Arial" w:eastAsia="Arial" w:hAnsi="Arial" w:cs="Arial"/>
                <w:b/>
              </w:rPr>
            </w:pPr>
          </w:p>
        </w:tc>
        <w:tc>
          <w:tcPr>
            <w:tcW w:w="7071" w:type="dxa"/>
          </w:tcPr>
          <w:p w:rsidR="00AF2683" w:rsidRDefault="00AF2683" w:rsidP="002D357B">
            <w:pPr>
              <w:contextualSpacing/>
              <w:rPr>
                <w:rFonts w:ascii="Arial" w:eastAsia="Arial" w:hAnsi="Arial" w:cs="Arial"/>
                <w:b/>
                <w:i/>
                <w:sz w:val="18"/>
                <w:szCs w:val="18"/>
              </w:rPr>
            </w:pPr>
          </w:p>
          <w:p w:rsidR="00AF2683" w:rsidRPr="008E61F4" w:rsidRDefault="00AF2683" w:rsidP="002D357B">
            <w:pPr>
              <w:contextualSpacing/>
              <w:rPr>
                <w:rFonts w:ascii="Arial" w:hAnsi="Arial" w:cs="Arial"/>
                <w:b/>
                <w:sz w:val="18"/>
                <w:szCs w:val="18"/>
              </w:rPr>
            </w:pPr>
            <w:r w:rsidRPr="008E61F4">
              <w:rPr>
                <w:rFonts w:ascii="Arial" w:eastAsia="Arial" w:hAnsi="Arial" w:cs="Arial"/>
                <w:sz w:val="18"/>
                <w:szCs w:val="18"/>
              </w:rPr>
              <w:t>The key strategies and associated activities to achieve goals and objectives in the long-term are supported by adequate financial and human resources; adequate staff competency, capacity development and training; appropriate access to equipment and adequate infrastructure; and measures are in place to deal with critical shortfalls.</w:t>
            </w:r>
            <w:r>
              <w:rPr>
                <w:rFonts w:ascii="Arial" w:eastAsia="Arial" w:hAnsi="Arial" w:cs="Arial"/>
                <w:sz w:val="18"/>
                <w:szCs w:val="18"/>
              </w:rPr>
              <w:t xml:space="preserve"> </w:t>
            </w:r>
            <w:r w:rsidRPr="008E61F4">
              <w:rPr>
                <w:rFonts w:ascii="Arial" w:eastAsia="Arial" w:hAnsi="Arial" w:cs="Arial"/>
                <w:sz w:val="18"/>
                <w:szCs w:val="18"/>
              </w:rPr>
              <w:t xml:space="preserve">Management can </w:t>
            </w:r>
            <w:r w:rsidR="00B17137">
              <w:rPr>
                <w:rFonts w:ascii="Arial" w:eastAsia="Arial" w:hAnsi="Arial" w:cs="Arial"/>
                <w:sz w:val="18"/>
                <w:szCs w:val="18"/>
              </w:rPr>
              <w:t xml:space="preserve">clearly </w:t>
            </w:r>
            <w:r w:rsidRPr="008E61F4">
              <w:rPr>
                <w:rFonts w:ascii="Arial" w:eastAsia="Arial" w:hAnsi="Arial" w:cs="Arial"/>
                <w:sz w:val="18"/>
                <w:szCs w:val="18"/>
              </w:rPr>
              <w:t>demonstrate that ecological attributes and processes are being managed to maintain the area’s major natural values and associated ecosystem services.</w:t>
            </w:r>
          </w:p>
          <w:p w:rsidR="00AF2683" w:rsidRPr="008E61F4" w:rsidRDefault="00AF2683" w:rsidP="002D357B">
            <w:pPr>
              <w:contextualSpacing/>
              <w:rPr>
                <w:rFonts w:ascii="Arial" w:hAnsi="Arial" w:cs="Arial"/>
                <w:b/>
                <w:sz w:val="18"/>
                <w:szCs w:val="18"/>
              </w:rPr>
            </w:pPr>
          </w:p>
        </w:tc>
      </w:tr>
      <w:tr w:rsidR="00AF2683" w:rsidRPr="00063D79" w:rsidTr="005F7657">
        <w:tc>
          <w:tcPr>
            <w:tcW w:w="7071" w:type="dxa"/>
          </w:tcPr>
          <w:p w:rsidR="00AF2683" w:rsidRPr="0050195A" w:rsidRDefault="00AF2683" w:rsidP="002D357B">
            <w:pPr>
              <w:contextualSpacing/>
              <w:rPr>
                <w:rFonts w:ascii="Arial" w:eastAsia="Arial" w:hAnsi="Arial" w:cs="Arial"/>
                <w:b/>
              </w:rPr>
            </w:pPr>
          </w:p>
          <w:p w:rsidR="00AF2683" w:rsidRDefault="008C3D4C" w:rsidP="002D357B">
            <w:pPr>
              <w:contextualSpacing/>
              <w:rPr>
                <w:rFonts w:ascii="Arial" w:eastAsia="Arial" w:hAnsi="Arial" w:cs="Arial"/>
                <w:b/>
              </w:rPr>
            </w:pPr>
            <w:r>
              <w:rPr>
                <w:rFonts w:ascii="Arial" w:eastAsia="Arial" w:hAnsi="Arial" w:cs="Arial"/>
                <w:b/>
              </w:rPr>
              <w:t>3.2 MANAGE ECOLOGICAL CONDITION</w:t>
            </w:r>
          </w:p>
          <w:p w:rsidR="00167636" w:rsidRPr="0050195A" w:rsidRDefault="00167636" w:rsidP="002D357B">
            <w:pPr>
              <w:contextualSpacing/>
              <w:rPr>
                <w:rFonts w:ascii="Arial" w:eastAsia="Arial" w:hAnsi="Arial" w:cs="Arial"/>
                <w:b/>
              </w:rPr>
            </w:pPr>
          </w:p>
        </w:tc>
        <w:tc>
          <w:tcPr>
            <w:tcW w:w="7071" w:type="dxa"/>
          </w:tcPr>
          <w:p w:rsidR="00AF2683" w:rsidRPr="00167636" w:rsidRDefault="00AF2683" w:rsidP="00AF2683">
            <w:pPr>
              <w:contextualSpacing/>
              <w:rPr>
                <w:rFonts w:ascii="Arial" w:eastAsia="Arial" w:hAnsi="Arial" w:cs="Arial"/>
                <w:b/>
                <w:sz w:val="18"/>
                <w:szCs w:val="18"/>
              </w:rPr>
            </w:pPr>
          </w:p>
          <w:p w:rsidR="00167636" w:rsidRPr="00167636" w:rsidRDefault="00167636" w:rsidP="00167636">
            <w:pPr>
              <w:pStyle w:val="Default"/>
              <w:rPr>
                <w:sz w:val="18"/>
                <w:szCs w:val="18"/>
              </w:rPr>
            </w:pPr>
            <w:r w:rsidRPr="00167636">
              <w:rPr>
                <w:sz w:val="18"/>
                <w:szCs w:val="18"/>
              </w:rPr>
              <w:t xml:space="preserve">Management can </w:t>
            </w:r>
            <w:r w:rsidR="00B17137">
              <w:rPr>
                <w:sz w:val="18"/>
                <w:szCs w:val="18"/>
              </w:rPr>
              <w:t xml:space="preserve">clearly </w:t>
            </w:r>
            <w:r w:rsidRPr="00167636">
              <w:rPr>
                <w:sz w:val="18"/>
                <w:szCs w:val="18"/>
              </w:rPr>
              <w:t>demon</w:t>
            </w:r>
            <w:r w:rsidR="008C3D4C">
              <w:rPr>
                <w:sz w:val="18"/>
                <w:szCs w:val="18"/>
              </w:rPr>
              <w:t>strate that ecological attributes and processes</w:t>
            </w:r>
            <w:r w:rsidRPr="00167636">
              <w:rPr>
                <w:sz w:val="18"/>
                <w:szCs w:val="18"/>
              </w:rPr>
              <w:t xml:space="preserve"> are being managed to maintain the area’s major natural values and associated ecosystem services </w:t>
            </w:r>
          </w:p>
          <w:p w:rsidR="00167636" w:rsidRPr="00167636" w:rsidRDefault="00167636" w:rsidP="00AF2683">
            <w:pPr>
              <w:contextualSpacing/>
              <w:rPr>
                <w:rFonts w:ascii="Arial" w:eastAsia="Arial" w:hAnsi="Arial" w:cs="Arial"/>
                <w:b/>
                <w:sz w:val="18"/>
                <w:szCs w:val="18"/>
                <w:lang w:val="en-GB"/>
              </w:rPr>
            </w:pPr>
          </w:p>
        </w:tc>
      </w:tr>
      <w:tr w:rsidR="00AF2683" w:rsidRPr="00063D79" w:rsidTr="0002725A">
        <w:tc>
          <w:tcPr>
            <w:tcW w:w="7071" w:type="dxa"/>
          </w:tcPr>
          <w:p w:rsidR="00AF2683" w:rsidRPr="0050195A" w:rsidRDefault="00AF2683" w:rsidP="002D357B">
            <w:pPr>
              <w:contextualSpacing/>
              <w:rPr>
                <w:rFonts w:ascii="Arial" w:eastAsia="Arial" w:hAnsi="Arial" w:cs="Arial"/>
                <w:b/>
              </w:rPr>
            </w:pPr>
          </w:p>
          <w:p w:rsidR="00AF2683" w:rsidRPr="0050195A" w:rsidRDefault="00AF2683" w:rsidP="002D357B">
            <w:pPr>
              <w:contextualSpacing/>
              <w:rPr>
                <w:rFonts w:ascii="Arial" w:eastAsia="Arial" w:hAnsi="Arial" w:cs="Arial"/>
                <w:b/>
              </w:rPr>
            </w:pPr>
            <w:r w:rsidRPr="0050195A">
              <w:rPr>
                <w:rFonts w:ascii="Arial" w:eastAsia="Arial" w:hAnsi="Arial" w:cs="Arial"/>
                <w:b/>
              </w:rPr>
              <w:t>3.3 MANAGE WITHIN THE SOCIAL AND ECONOMIC CONTEXT OF THE AREA</w:t>
            </w:r>
          </w:p>
          <w:p w:rsidR="00AF2683" w:rsidRPr="0050195A" w:rsidRDefault="00AF2683" w:rsidP="008E61F4">
            <w:pPr>
              <w:ind w:left="502"/>
              <w:contextualSpacing/>
              <w:rPr>
                <w:rFonts w:ascii="Arial" w:eastAsia="Arial" w:hAnsi="Arial" w:cs="Arial"/>
              </w:rPr>
            </w:pPr>
          </w:p>
        </w:tc>
        <w:tc>
          <w:tcPr>
            <w:tcW w:w="7071" w:type="dxa"/>
          </w:tcPr>
          <w:p w:rsidR="00AF2683" w:rsidRPr="008E61F4" w:rsidRDefault="00AF2683" w:rsidP="008E61F4">
            <w:pPr>
              <w:contextualSpacing/>
              <w:rPr>
                <w:rFonts w:ascii="Arial" w:eastAsia="Arial" w:hAnsi="Arial" w:cs="Arial"/>
                <w:sz w:val="18"/>
                <w:szCs w:val="18"/>
              </w:rPr>
            </w:pPr>
          </w:p>
          <w:p w:rsidR="00AF2683" w:rsidRPr="008E61F4" w:rsidRDefault="00AF2683" w:rsidP="008E61F4">
            <w:pPr>
              <w:contextualSpacing/>
              <w:rPr>
                <w:rFonts w:ascii="Arial" w:eastAsia="Arial" w:hAnsi="Arial" w:cs="Arial"/>
                <w:sz w:val="18"/>
                <w:szCs w:val="18"/>
              </w:rPr>
            </w:pPr>
            <w:r w:rsidRPr="008E61F4">
              <w:rPr>
                <w:rFonts w:ascii="Arial" w:eastAsia="Arial" w:hAnsi="Arial" w:cs="Arial"/>
                <w:sz w:val="18"/>
                <w:szCs w:val="18"/>
              </w:rPr>
              <w:t xml:space="preserve">Management can </w:t>
            </w:r>
            <w:r w:rsidR="00B17137">
              <w:rPr>
                <w:rFonts w:ascii="Arial" w:eastAsia="Arial" w:hAnsi="Arial" w:cs="Arial"/>
                <w:sz w:val="18"/>
                <w:szCs w:val="18"/>
              </w:rPr>
              <w:t xml:space="preserve">clearly </w:t>
            </w:r>
            <w:r w:rsidRPr="008E61F4">
              <w:rPr>
                <w:rFonts w:ascii="Arial" w:eastAsia="Arial" w:hAnsi="Arial" w:cs="Arial"/>
                <w:sz w:val="18"/>
                <w:szCs w:val="18"/>
              </w:rPr>
              <w:t>demonstrate that:</w:t>
            </w:r>
          </w:p>
          <w:p w:rsidR="00AF2683" w:rsidRPr="008E61F4" w:rsidRDefault="00AF2683" w:rsidP="008E61F4">
            <w:pPr>
              <w:numPr>
                <w:ilvl w:val="0"/>
                <w:numId w:val="27"/>
              </w:numPr>
              <w:ind w:hanging="360"/>
              <w:contextualSpacing/>
              <w:rPr>
                <w:rFonts w:ascii="Arial" w:eastAsia="Arial" w:hAnsi="Arial" w:cs="Arial"/>
                <w:sz w:val="18"/>
                <w:szCs w:val="18"/>
              </w:rPr>
            </w:pPr>
            <w:r w:rsidRPr="008E61F4">
              <w:rPr>
                <w:rFonts w:ascii="Arial" w:eastAsia="Arial" w:hAnsi="Arial" w:cs="Arial"/>
                <w:sz w:val="18"/>
                <w:szCs w:val="18"/>
              </w:rPr>
              <w:t>Rights-holders and stakeholders are recognized and engaged effectively by management, and their interests are fairly and fully considered;</w:t>
            </w:r>
          </w:p>
          <w:p w:rsidR="00AF2683" w:rsidRPr="008E61F4" w:rsidRDefault="00AF2683" w:rsidP="002D357B">
            <w:pPr>
              <w:numPr>
                <w:ilvl w:val="0"/>
                <w:numId w:val="27"/>
              </w:numPr>
              <w:ind w:hanging="360"/>
              <w:contextualSpacing/>
              <w:rPr>
                <w:rFonts w:ascii="Arial" w:eastAsia="Arial" w:hAnsi="Arial" w:cs="Arial"/>
                <w:sz w:val="18"/>
                <w:szCs w:val="18"/>
              </w:rPr>
            </w:pPr>
            <w:r w:rsidRPr="008E61F4">
              <w:rPr>
                <w:rFonts w:ascii="Arial" w:eastAsia="Arial" w:hAnsi="Arial" w:cs="Arial"/>
                <w:sz w:val="18"/>
                <w:szCs w:val="18"/>
              </w:rPr>
              <w:t xml:space="preserve">The social and economic benefits of the area are recognized, promoted and are being maintained, OR, where such maintenance is incompatible with the maintenance of the area’s natural values, any restrictions are designed and implemented in consultation with, and preferably following the free, prior and informed consent of right-holders and stakeholders. </w:t>
            </w:r>
          </w:p>
          <w:p w:rsidR="00AF2683" w:rsidRPr="008E61F4" w:rsidRDefault="00AF2683" w:rsidP="002D357B">
            <w:pPr>
              <w:contextualSpacing/>
              <w:rPr>
                <w:rFonts w:ascii="Arial" w:eastAsia="Arial" w:hAnsi="Arial" w:cs="Arial"/>
                <w:b/>
                <w:sz w:val="18"/>
                <w:szCs w:val="18"/>
              </w:rPr>
            </w:pPr>
          </w:p>
        </w:tc>
      </w:tr>
      <w:tr w:rsidR="00AF2683" w:rsidRPr="00063D79" w:rsidTr="00AC4E11">
        <w:tc>
          <w:tcPr>
            <w:tcW w:w="7071" w:type="dxa"/>
          </w:tcPr>
          <w:p w:rsidR="00AF2683" w:rsidRPr="0050195A" w:rsidRDefault="00AF2683" w:rsidP="002D357B">
            <w:pPr>
              <w:contextualSpacing/>
              <w:rPr>
                <w:rFonts w:ascii="Arial" w:eastAsia="Arial" w:hAnsi="Arial" w:cs="Arial"/>
                <w:b/>
              </w:rPr>
            </w:pPr>
          </w:p>
          <w:p w:rsidR="00AF2683" w:rsidRPr="0050195A" w:rsidRDefault="00AF2683" w:rsidP="002D357B">
            <w:pPr>
              <w:contextualSpacing/>
              <w:rPr>
                <w:rFonts w:ascii="Arial" w:eastAsia="Arial" w:hAnsi="Arial" w:cs="Arial"/>
                <w:b/>
              </w:rPr>
            </w:pPr>
            <w:r w:rsidRPr="0050195A">
              <w:rPr>
                <w:rFonts w:ascii="Arial" w:eastAsia="Arial" w:hAnsi="Arial" w:cs="Arial"/>
                <w:b/>
              </w:rPr>
              <w:t>3.4 MANAGE THREATS</w:t>
            </w:r>
            <w:bookmarkStart w:id="0" w:name="_GoBack"/>
            <w:bookmarkEnd w:id="0"/>
          </w:p>
        </w:tc>
        <w:tc>
          <w:tcPr>
            <w:tcW w:w="7071" w:type="dxa"/>
          </w:tcPr>
          <w:p w:rsidR="00AF2683" w:rsidRPr="008E61F4" w:rsidRDefault="00AF2683" w:rsidP="002D357B">
            <w:pPr>
              <w:contextualSpacing/>
              <w:rPr>
                <w:rFonts w:ascii="Arial" w:eastAsia="Arial" w:hAnsi="Arial" w:cs="Arial"/>
                <w:sz w:val="18"/>
                <w:szCs w:val="18"/>
              </w:rPr>
            </w:pPr>
          </w:p>
          <w:p w:rsidR="00AF2683" w:rsidRPr="008E61F4" w:rsidRDefault="00AF2683" w:rsidP="000524F6">
            <w:pPr>
              <w:contextualSpacing/>
              <w:rPr>
                <w:rFonts w:ascii="Arial" w:eastAsia="Arial" w:hAnsi="Arial" w:cs="Arial"/>
                <w:b/>
                <w:sz w:val="18"/>
                <w:szCs w:val="18"/>
              </w:rPr>
            </w:pPr>
            <w:r w:rsidRPr="008E61F4">
              <w:rPr>
                <w:rFonts w:ascii="Arial" w:eastAsia="Arial" w:hAnsi="Arial" w:cs="Arial"/>
                <w:sz w:val="18"/>
                <w:szCs w:val="18"/>
              </w:rPr>
              <w:t xml:space="preserve">Threats are being actively and effectively responded to, so that their impact is not compromising the maintenance of major site values or the achievement of the area’s goals and objectives. </w:t>
            </w:r>
          </w:p>
        </w:tc>
      </w:tr>
      <w:tr w:rsidR="00AF2683" w:rsidRPr="00063D79" w:rsidTr="00CB6C12">
        <w:tc>
          <w:tcPr>
            <w:tcW w:w="7071" w:type="dxa"/>
          </w:tcPr>
          <w:p w:rsidR="00AF2683" w:rsidRPr="0050195A" w:rsidRDefault="00AF2683" w:rsidP="002D357B">
            <w:pPr>
              <w:contextualSpacing/>
              <w:rPr>
                <w:rFonts w:ascii="Arial" w:eastAsia="Arial" w:hAnsi="Arial" w:cs="Arial"/>
                <w:b/>
              </w:rPr>
            </w:pPr>
          </w:p>
          <w:p w:rsidR="00AF2683" w:rsidRPr="0050195A" w:rsidRDefault="00AF2683" w:rsidP="002D357B">
            <w:pPr>
              <w:contextualSpacing/>
              <w:rPr>
                <w:rFonts w:ascii="Arial" w:eastAsia="Arial" w:hAnsi="Arial" w:cs="Arial"/>
                <w:b/>
              </w:rPr>
            </w:pPr>
            <w:r w:rsidRPr="0050195A">
              <w:rPr>
                <w:rFonts w:ascii="Arial" w:eastAsia="Arial" w:hAnsi="Arial" w:cs="Arial"/>
                <w:b/>
              </w:rPr>
              <w:t>3.5 EFFECTIVELY AND FAIRLY ENFORCE LAWS</w:t>
            </w:r>
            <w:r w:rsidR="00A846C6">
              <w:rPr>
                <w:rFonts w:ascii="Arial" w:eastAsia="Arial" w:hAnsi="Arial" w:cs="Arial"/>
                <w:b/>
              </w:rPr>
              <w:t xml:space="preserve"> AND </w:t>
            </w:r>
            <w:r w:rsidRPr="0050195A">
              <w:rPr>
                <w:rFonts w:ascii="Arial" w:eastAsia="Arial" w:hAnsi="Arial" w:cs="Arial"/>
                <w:b/>
              </w:rPr>
              <w:t xml:space="preserve">REGULATIONS </w:t>
            </w:r>
          </w:p>
          <w:p w:rsidR="00AF2683" w:rsidRPr="0050195A" w:rsidRDefault="00AF2683" w:rsidP="002D357B">
            <w:pPr>
              <w:contextualSpacing/>
              <w:rPr>
                <w:rFonts w:ascii="Arial" w:eastAsia="Arial" w:hAnsi="Arial" w:cs="Arial"/>
                <w:b/>
              </w:rPr>
            </w:pPr>
          </w:p>
        </w:tc>
        <w:tc>
          <w:tcPr>
            <w:tcW w:w="7071" w:type="dxa"/>
          </w:tcPr>
          <w:p w:rsidR="00AF2683" w:rsidRPr="00A846C6" w:rsidRDefault="00AF2683" w:rsidP="002D357B">
            <w:pPr>
              <w:contextualSpacing/>
              <w:rPr>
                <w:rFonts w:ascii="Arial" w:eastAsia="Arial" w:hAnsi="Arial" w:cs="Arial"/>
                <w:sz w:val="18"/>
                <w:szCs w:val="18"/>
              </w:rPr>
            </w:pPr>
          </w:p>
          <w:p w:rsidR="00AF2683" w:rsidRPr="00A846C6" w:rsidRDefault="00AF2683" w:rsidP="00AF2683">
            <w:pPr>
              <w:contextualSpacing/>
              <w:rPr>
                <w:rFonts w:ascii="Arial" w:eastAsia="Arial" w:hAnsi="Arial" w:cs="Arial"/>
                <w:sz w:val="18"/>
                <w:szCs w:val="18"/>
              </w:rPr>
            </w:pPr>
            <w:r w:rsidRPr="00A846C6">
              <w:rPr>
                <w:rFonts w:ascii="Arial" w:eastAsia="Arial" w:hAnsi="Arial" w:cs="Arial"/>
                <w:sz w:val="18"/>
                <w:szCs w:val="18"/>
              </w:rPr>
              <w:t>Relevant laws, regulations and restrictions are fairly and effectively applied in all aspects of the protected area management and operations</w:t>
            </w:r>
          </w:p>
        </w:tc>
      </w:tr>
      <w:tr w:rsidR="00AF2683" w:rsidRPr="00063D79" w:rsidTr="00D2555B">
        <w:trPr>
          <w:trHeight w:val="928"/>
        </w:trPr>
        <w:tc>
          <w:tcPr>
            <w:tcW w:w="14142" w:type="dxa"/>
            <w:gridSpan w:val="2"/>
          </w:tcPr>
          <w:p w:rsidR="00AF2683" w:rsidRPr="0050195A" w:rsidRDefault="00AF2683" w:rsidP="002D357B">
            <w:pPr>
              <w:contextualSpacing/>
              <w:rPr>
                <w:rFonts w:ascii="Arial" w:eastAsia="Arial" w:hAnsi="Arial" w:cs="Arial"/>
                <w:b/>
              </w:rPr>
            </w:pPr>
          </w:p>
          <w:p w:rsidR="00AF2683" w:rsidRPr="0050195A" w:rsidRDefault="00AF2683" w:rsidP="0050195A">
            <w:pPr>
              <w:contextualSpacing/>
              <w:rPr>
                <w:rFonts w:ascii="Arial" w:eastAsia="Arial" w:hAnsi="Arial" w:cs="Arial"/>
                <w:b/>
              </w:rPr>
            </w:pPr>
            <w:r w:rsidRPr="0050195A">
              <w:rPr>
                <w:rFonts w:ascii="Arial" w:eastAsia="Arial" w:hAnsi="Arial" w:cs="Arial"/>
                <w:b/>
              </w:rPr>
              <w:t>3.6 MANAGE ACCESS, RESOURCE USE AND VISITATION</w:t>
            </w:r>
          </w:p>
        </w:tc>
      </w:tr>
      <w:tr w:rsidR="00AF2683" w:rsidRPr="00063D79" w:rsidTr="00F026F4">
        <w:trPr>
          <w:trHeight w:val="928"/>
        </w:trPr>
        <w:tc>
          <w:tcPr>
            <w:tcW w:w="7071" w:type="dxa"/>
          </w:tcPr>
          <w:p w:rsidR="00AF2683" w:rsidRPr="0050195A" w:rsidRDefault="00AF2683" w:rsidP="008E61F4">
            <w:pPr>
              <w:contextualSpacing/>
              <w:rPr>
                <w:rFonts w:ascii="Arial" w:eastAsia="Arial" w:hAnsi="Arial" w:cs="Arial"/>
                <w:b/>
                <w:i/>
              </w:rPr>
            </w:pPr>
            <w:r w:rsidRPr="0050195A">
              <w:rPr>
                <w:rFonts w:ascii="Arial" w:eastAsia="Arial" w:hAnsi="Arial" w:cs="Arial"/>
                <w:b/>
                <w:i/>
              </w:rPr>
              <w:t>3.6A MANAGE APPROVED ACTIVITIES WITHIN THE AREA</w:t>
            </w:r>
          </w:p>
          <w:p w:rsidR="00AF2683" w:rsidRPr="0050195A" w:rsidRDefault="00AF2683" w:rsidP="008E61F4">
            <w:pPr>
              <w:contextualSpacing/>
              <w:rPr>
                <w:rFonts w:ascii="Arial" w:eastAsia="Arial" w:hAnsi="Arial" w:cs="Arial"/>
                <w:b/>
                <w:i/>
              </w:rPr>
            </w:pPr>
          </w:p>
        </w:tc>
        <w:tc>
          <w:tcPr>
            <w:tcW w:w="7071" w:type="dxa"/>
          </w:tcPr>
          <w:p w:rsidR="00AF2683" w:rsidRPr="008E61F4" w:rsidRDefault="00AF2683" w:rsidP="002D357B">
            <w:pPr>
              <w:contextualSpacing/>
              <w:rPr>
                <w:rFonts w:ascii="Arial" w:eastAsia="Arial" w:hAnsi="Arial" w:cs="Arial"/>
                <w:b/>
                <w:sz w:val="18"/>
                <w:szCs w:val="18"/>
              </w:rPr>
            </w:pPr>
            <w:r w:rsidRPr="008E61F4">
              <w:rPr>
                <w:rFonts w:ascii="Arial" w:eastAsia="Arial" w:hAnsi="Arial" w:cs="Arial"/>
                <w:sz w:val="18"/>
                <w:szCs w:val="18"/>
              </w:rPr>
              <w:t>When permitted, activities within the area that involve direct access to resources are compatible with and support the achievement of the area’s conservation goals and objectives, meet the needs of users, and are properly regulated.</w:t>
            </w:r>
          </w:p>
        </w:tc>
      </w:tr>
      <w:tr w:rsidR="00AF2683" w:rsidRPr="00063D79" w:rsidTr="00101F0E">
        <w:trPr>
          <w:trHeight w:val="700"/>
        </w:trPr>
        <w:tc>
          <w:tcPr>
            <w:tcW w:w="7071" w:type="dxa"/>
          </w:tcPr>
          <w:p w:rsidR="00AF2683" w:rsidRPr="0050195A" w:rsidRDefault="00AF2683" w:rsidP="008E61F4">
            <w:pPr>
              <w:contextualSpacing/>
              <w:rPr>
                <w:rFonts w:ascii="Arial" w:eastAsia="Arial" w:hAnsi="Arial" w:cs="Arial"/>
                <w:b/>
                <w:i/>
              </w:rPr>
            </w:pPr>
            <w:r w:rsidRPr="0050195A">
              <w:rPr>
                <w:rFonts w:ascii="Arial" w:eastAsia="Arial" w:hAnsi="Arial" w:cs="Arial"/>
                <w:b/>
                <w:i/>
              </w:rPr>
              <w:t xml:space="preserve">3.6B MANAGE FOR VISITORS AND TOURISM </w:t>
            </w:r>
          </w:p>
          <w:p w:rsidR="00AF2683" w:rsidRPr="0050195A" w:rsidRDefault="00AF2683" w:rsidP="008E61F4">
            <w:pPr>
              <w:contextualSpacing/>
              <w:rPr>
                <w:rFonts w:ascii="Arial" w:eastAsia="Arial" w:hAnsi="Arial" w:cs="Arial"/>
                <w:b/>
                <w:i/>
              </w:rPr>
            </w:pPr>
          </w:p>
        </w:tc>
        <w:tc>
          <w:tcPr>
            <w:tcW w:w="7071" w:type="dxa"/>
          </w:tcPr>
          <w:p w:rsidR="00AF2683" w:rsidRPr="008E61F4" w:rsidRDefault="00AF2683" w:rsidP="002D357B">
            <w:pPr>
              <w:contextualSpacing/>
              <w:rPr>
                <w:rFonts w:ascii="Arial" w:eastAsia="Arial" w:hAnsi="Arial" w:cs="Arial"/>
                <w:b/>
                <w:sz w:val="18"/>
                <w:szCs w:val="18"/>
              </w:rPr>
            </w:pPr>
            <w:r w:rsidRPr="008E61F4">
              <w:rPr>
                <w:rFonts w:ascii="Arial" w:eastAsia="Arial" w:hAnsi="Arial" w:cs="Arial"/>
                <w:sz w:val="18"/>
                <w:szCs w:val="18"/>
              </w:rPr>
              <w:t>When permitted, tourism and visitor management are compatible with and support the achievement of the area´s conservation goals and objectives</w:t>
            </w:r>
          </w:p>
        </w:tc>
      </w:tr>
      <w:tr w:rsidR="00AF2683" w:rsidRPr="00063D79" w:rsidTr="00CD0982">
        <w:tc>
          <w:tcPr>
            <w:tcW w:w="7071" w:type="dxa"/>
            <w:tcBorders>
              <w:bottom w:val="single" w:sz="4" w:space="0" w:color="auto"/>
            </w:tcBorders>
          </w:tcPr>
          <w:p w:rsidR="00AF2683" w:rsidRPr="00167636" w:rsidRDefault="00AF2683" w:rsidP="002D357B">
            <w:pPr>
              <w:contextualSpacing/>
              <w:rPr>
                <w:rFonts w:ascii="Arial" w:eastAsia="Arial" w:hAnsi="Arial" w:cs="Arial"/>
              </w:rPr>
            </w:pPr>
          </w:p>
          <w:p w:rsidR="00AF2683" w:rsidRPr="00167636" w:rsidRDefault="00AF2683" w:rsidP="008E61F4">
            <w:pPr>
              <w:rPr>
                <w:rFonts w:ascii="Arial" w:eastAsia="Arial" w:hAnsi="Arial" w:cs="Arial"/>
              </w:rPr>
            </w:pPr>
            <w:r w:rsidRPr="00AF574B">
              <w:rPr>
                <w:rFonts w:ascii="Arial" w:eastAsia="Arial" w:hAnsi="Arial" w:cs="Arial"/>
                <w:b/>
              </w:rPr>
              <w:t>3.7</w:t>
            </w:r>
            <w:r w:rsidRPr="00167636">
              <w:rPr>
                <w:rFonts w:ascii="Arial" w:eastAsia="Arial" w:hAnsi="Arial" w:cs="Arial"/>
              </w:rPr>
              <w:t xml:space="preserve"> </w:t>
            </w:r>
            <w:r w:rsidRPr="00AF574B">
              <w:rPr>
                <w:rFonts w:ascii="Arial" w:eastAsia="Arial" w:hAnsi="Arial" w:cs="Arial"/>
                <w:b/>
              </w:rPr>
              <w:t>MEASURE SUCCESS</w:t>
            </w:r>
            <w:r w:rsidRPr="00167636">
              <w:rPr>
                <w:rFonts w:ascii="Arial" w:eastAsia="Arial" w:hAnsi="Arial" w:cs="Arial"/>
              </w:rPr>
              <w:t xml:space="preserve"> </w:t>
            </w:r>
          </w:p>
          <w:p w:rsidR="00AF2683" w:rsidRPr="00167636" w:rsidRDefault="00AF2683" w:rsidP="002D357B">
            <w:pPr>
              <w:contextualSpacing/>
              <w:rPr>
                <w:rFonts w:ascii="Arial" w:eastAsia="Arial" w:hAnsi="Arial" w:cs="Arial"/>
              </w:rPr>
            </w:pPr>
          </w:p>
        </w:tc>
        <w:tc>
          <w:tcPr>
            <w:tcW w:w="7071" w:type="dxa"/>
            <w:tcBorders>
              <w:bottom w:val="single" w:sz="4" w:space="0" w:color="auto"/>
            </w:tcBorders>
          </w:tcPr>
          <w:p w:rsidR="00AF2683" w:rsidRPr="008E61F4" w:rsidRDefault="00AF2683" w:rsidP="008E61F4">
            <w:pPr>
              <w:contextualSpacing/>
              <w:rPr>
                <w:rFonts w:ascii="Arial" w:eastAsia="Arial" w:hAnsi="Arial" w:cs="Arial"/>
                <w:sz w:val="18"/>
                <w:szCs w:val="18"/>
              </w:rPr>
            </w:pPr>
            <w:r w:rsidRPr="008E61F4">
              <w:rPr>
                <w:rFonts w:ascii="Arial" w:eastAsia="Arial" w:hAnsi="Arial" w:cs="Arial"/>
                <w:sz w:val="18"/>
                <w:szCs w:val="18"/>
              </w:rPr>
              <w:t>Monitoring, evaluation and learning provide an objective basis for determining measures of success. Monitoring and assessment programs should be capable of providing data on:</w:t>
            </w:r>
          </w:p>
          <w:p w:rsidR="00AF2683" w:rsidRPr="008E61F4" w:rsidRDefault="00AF2683" w:rsidP="008E61F4">
            <w:pPr>
              <w:pStyle w:val="NoSpacing"/>
              <w:numPr>
                <w:ilvl w:val="0"/>
                <w:numId w:val="37"/>
              </w:numPr>
              <w:rPr>
                <w:rFonts w:ascii="Arial" w:hAnsi="Arial" w:cs="Arial"/>
                <w:sz w:val="18"/>
                <w:szCs w:val="18"/>
              </w:rPr>
            </w:pPr>
            <w:r w:rsidRPr="008E61F4">
              <w:rPr>
                <w:rFonts w:ascii="Arial" w:hAnsi="Arial" w:cs="Arial"/>
                <w:sz w:val="18"/>
                <w:szCs w:val="18"/>
              </w:rPr>
              <w:t>Whether each of the area’s major values is being successfully protected;</w:t>
            </w:r>
          </w:p>
          <w:p w:rsidR="00AF2683" w:rsidRPr="008E61F4" w:rsidRDefault="00AF2683" w:rsidP="008E61F4">
            <w:pPr>
              <w:pStyle w:val="NoSpacing"/>
              <w:numPr>
                <w:ilvl w:val="0"/>
                <w:numId w:val="37"/>
              </w:numPr>
              <w:rPr>
                <w:rFonts w:ascii="Arial" w:hAnsi="Arial" w:cs="Arial"/>
                <w:sz w:val="18"/>
                <w:szCs w:val="18"/>
              </w:rPr>
            </w:pPr>
            <w:r w:rsidRPr="008E61F4">
              <w:rPr>
                <w:rFonts w:ascii="Arial" w:hAnsi="Arial" w:cs="Arial"/>
                <w:sz w:val="18"/>
                <w:szCs w:val="18"/>
              </w:rPr>
              <w:t xml:space="preserve">Level and intensity of threats; and </w:t>
            </w:r>
          </w:p>
          <w:p w:rsidR="00AF2683" w:rsidRPr="008E61F4" w:rsidRDefault="00AF2683" w:rsidP="008E61F4">
            <w:pPr>
              <w:pStyle w:val="NoSpacing"/>
              <w:numPr>
                <w:ilvl w:val="0"/>
                <w:numId w:val="37"/>
              </w:numPr>
              <w:rPr>
                <w:rFonts w:ascii="Arial" w:hAnsi="Arial" w:cs="Arial"/>
                <w:sz w:val="18"/>
                <w:szCs w:val="18"/>
              </w:rPr>
            </w:pPr>
            <w:r w:rsidRPr="008E61F4">
              <w:rPr>
                <w:rFonts w:ascii="Arial" w:hAnsi="Arial" w:cs="Arial"/>
                <w:sz w:val="18"/>
                <w:szCs w:val="18"/>
              </w:rPr>
              <w:t>Achievement of management goals and objectives.</w:t>
            </w:r>
          </w:p>
          <w:p w:rsidR="00AF2683" w:rsidRPr="008E61F4" w:rsidRDefault="00AF2683" w:rsidP="002D357B">
            <w:pPr>
              <w:contextualSpacing/>
              <w:rPr>
                <w:rFonts w:ascii="Arial" w:eastAsia="Arial" w:hAnsi="Arial" w:cs="Arial"/>
                <w:b/>
                <w:sz w:val="18"/>
                <w:szCs w:val="18"/>
              </w:rPr>
            </w:pPr>
          </w:p>
        </w:tc>
      </w:tr>
      <w:tr w:rsidR="00AF2683" w:rsidRPr="00DC656F" w:rsidTr="00167636">
        <w:tc>
          <w:tcPr>
            <w:tcW w:w="14142" w:type="dxa"/>
            <w:gridSpan w:val="2"/>
            <w:tcBorders>
              <w:bottom w:val="single" w:sz="4" w:space="0" w:color="auto"/>
            </w:tcBorders>
            <w:shd w:val="clear" w:color="auto" w:fill="76923C" w:themeFill="accent3" w:themeFillShade="BF"/>
          </w:tcPr>
          <w:p w:rsidR="00AF2683" w:rsidRPr="00167636" w:rsidRDefault="00AF2683" w:rsidP="002D357B">
            <w:pPr>
              <w:contextualSpacing/>
              <w:rPr>
                <w:rFonts w:ascii="Arial" w:eastAsia="Arial" w:hAnsi="Arial" w:cs="Arial"/>
                <w:b/>
                <w:color w:val="FFFFFF" w:themeColor="background1"/>
                <w:sz w:val="28"/>
                <w:szCs w:val="28"/>
              </w:rPr>
            </w:pPr>
            <w:r w:rsidRPr="00167636">
              <w:rPr>
                <w:rFonts w:ascii="Arial" w:eastAsia="Arial" w:hAnsi="Arial" w:cs="Arial"/>
                <w:b/>
                <w:color w:val="FFFFFF" w:themeColor="background1"/>
                <w:sz w:val="28"/>
                <w:szCs w:val="28"/>
              </w:rPr>
              <w:t xml:space="preserve">Component 4: SUCCESSFUL CONSERVATION OUTCOMES </w:t>
            </w:r>
          </w:p>
          <w:p w:rsidR="00AF2683" w:rsidRPr="00167636" w:rsidRDefault="00AF2683" w:rsidP="002D357B">
            <w:pPr>
              <w:contextualSpacing/>
              <w:rPr>
                <w:rFonts w:ascii="Arial" w:eastAsia="Arial" w:hAnsi="Arial" w:cs="Arial"/>
                <w:b/>
                <w:sz w:val="24"/>
                <w:szCs w:val="24"/>
              </w:rPr>
            </w:pPr>
          </w:p>
        </w:tc>
      </w:tr>
      <w:tr w:rsidR="00167636" w:rsidRPr="00DC656F" w:rsidTr="00167636">
        <w:tc>
          <w:tcPr>
            <w:tcW w:w="14142" w:type="dxa"/>
            <w:gridSpan w:val="2"/>
            <w:shd w:val="clear" w:color="auto" w:fill="17365D" w:themeFill="text2" w:themeFillShade="BF"/>
          </w:tcPr>
          <w:p w:rsidR="00167636" w:rsidRPr="00167636" w:rsidRDefault="00B17137" w:rsidP="002D357B">
            <w:pPr>
              <w:contextualSpacing/>
              <w:rPr>
                <w:rFonts w:ascii="Arial" w:eastAsia="Arial" w:hAnsi="Arial" w:cs="Arial"/>
                <w:b/>
                <w:color w:val="FFFFFF" w:themeColor="background1"/>
                <w:sz w:val="28"/>
                <w:szCs w:val="28"/>
              </w:rPr>
            </w:pPr>
            <w:r>
              <w:rPr>
                <w:rFonts w:ascii="Arial" w:eastAsia="Arial" w:hAnsi="Arial" w:cs="Arial"/>
                <w:b/>
                <w:color w:val="FFFFFF" w:themeColor="background1"/>
                <w:sz w:val="24"/>
                <w:szCs w:val="24"/>
              </w:rPr>
              <w:t>Green List sites demonstrate</w:t>
            </w:r>
            <w:r w:rsidR="00167636" w:rsidRPr="00167636">
              <w:rPr>
                <w:rFonts w:ascii="Arial" w:eastAsia="Arial" w:hAnsi="Arial" w:cs="Arial"/>
                <w:b/>
                <w:color w:val="FFFFFF" w:themeColor="background1"/>
                <w:sz w:val="24"/>
                <w:szCs w:val="24"/>
              </w:rPr>
              <w:t xml:space="preserve"> successful long-term conservation of </w:t>
            </w:r>
            <w:r w:rsidR="00612220">
              <w:rPr>
                <w:rFonts w:ascii="Arial" w:eastAsia="Arial" w:hAnsi="Arial" w:cs="Arial"/>
                <w:b/>
                <w:color w:val="FFFFFF" w:themeColor="background1"/>
                <w:sz w:val="24"/>
                <w:szCs w:val="24"/>
              </w:rPr>
              <w:t xml:space="preserve">major </w:t>
            </w:r>
            <w:r w:rsidR="00167636" w:rsidRPr="00167636">
              <w:rPr>
                <w:rFonts w:ascii="Arial" w:eastAsia="Arial" w:hAnsi="Arial" w:cs="Arial"/>
                <w:b/>
                <w:color w:val="FFFFFF" w:themeColor="background1"/>
                <w:sz w:val="24"/>
                <w:szCs w:val="24"/>
              </w:rPr>
              <w:t>natural values, and associated cultural and ecosystem service values; as well as the achievement of social and economic goals and objectives</w:t>
            </w:r>
          </w:p>
        </w:tc>
      </w:tr>
      <w:tr w:rsidR="00AF2683" w:rsidRPr="00DC656F" w:rsidTr="00063089">
        <w:tc>
          <w:tcPr>
            <w:tcW w:w="7071" w:type="dxa"/>
          </w:tcPr>
          <w:p w:rsidR="00AF2683" w:rsidRPr="0050195A" w:rsidRDefault="00AF2683" w:rsidP="002D357B">
            <w:pPr>
              <w:contextualSpacing/>
              <w:rPr>
                <w:rFonts w:ascii="Arial" w:eastAsia="Arial" w:hAnsi="Arial" w:cs="Arial"/>
                <w:b/>
              </w:rPr>
            </w:pPr>
          </w:p>
          <w:p w:rsidR="00AF2683" w:rsidRPr="0050195A" w:rsidRDefault="00AF2683" w:rsidP="002D357B">
            <w:pPr>
              <w:contextualSpacing/>
              <w:rPr>
                <w:rFonts w:ascii="Arial" w:hAnsi="Arial" w:cs="Arial"/>
                <w:b/>
              </w:rPr>
            </w:pPr>
            <w:r w:rsidRPr="0050195A">
              <w:rPr>
                <w:rFonts w:ascii="Arial" w:eastAsia="Arial" w:hAnsi="Arial" w:cs="Arial"/>
                <w:b/>
              </w:rPr>
              <w:t>4.1: DEMONSTRATE CONSERVATION OF MAJOR NATURAL VALUES</w:t>
            </w:r>
          </w:p>
        </w:tc>
        <w:tc>
          <w:tcPr>
            <w:tcW w:w="7071" w:type="dxa"/>
          </w:tcPr>
          <w:p w:rsidR="00AF2683" w:rsidRPr="008E61F4" w:rsidRDefault="00AF2683" w:rsidP="002D357B">
            <w:pPr>
              <w:contextualSpacing/>
              <w:rPr>
                <w:rFonts w:ascii="Arial" w:eastAsia="Arial" w:hAnsi="Arial" w:cs="Arial"/>
                <w:sz w:val="18"/>
                <w:szCs w:val="18"/>
              </w:rPr>
            </w:pPr>
          </w:p>
          <w:p w:rsidR="00AF2683" w:rsidRPr="008E61F4" w:rsidRDefault="00AF2683" w:rsidP="002D357B">
            <w:pPr>
              <w:contextualSpacing/>
              <w:rPr>
                <w:rFonts w:ascii="Arial" w:eastAsia="Arial" w:hAnsi="Arial" w:cs="Arial"/>
                <w:sz w:val="18"/>
                <w:szCs w:val="18"/>
              </w:rPr>
            </w:pPr>
            <w:r w:rsidRPr="008E61F4">
              <w:rPr>
                <w:rFonts w:ascii="Arial" w:eastAsia="Arial" w:hAnsi="Arial" w:cs="Arial"/>
                <w:sz w:val="18"/>
                <w:szCs w:val="18"/>
              </w:rPr>
              <w:t>The area is meeting or exceeding the performance thresholds for nature conservation, consistent with its IUCN protected area management category.</w:t>
            </w:r>
          </w:p>
          <w:p w:rsidR="00AF2683" w:rsidRPr="008E61F4" w:rsidRDefault="00AF2683" w:rsidP="002D357B">
            <w:pPr>
              <w:contextualSpacing/>
              <w:rPr>
                <w:rFonts w:ascii="Arial" w:eastAsia="Arial" w:hAnsi="Arial" w:cs="Arial"/>
                <w:color w:val="auto"/>
                <w:sz w:val="18"/>
                <w:szCs w:val="18"/>
              </w:rPr>
            </w:pPr>
          </w:p>
        </w:tc>
      </w:tr>
      <w:tr w:rsidR="00AF2683" w:rsidRPr="00B42B0A" w:rsidTr="00865E2B">
        <w:tc>
          <w:tcPr>
            <w:tcW w:w="7071" w:type="dxa"/>
          </w:tcPr>
          <w:p w:rsidR="00AF2683" w:rsidRPr="0050195A" w:rsidRDefault="00AF2683" w:rsidP="002D357B">
            <w:pPr>
              <w:contextualSpacing/>
              <w:rPr>
                <w:rFonts w:ascii="Arial" w:eastAsia="Arial" w:hAnsi="Arial" w:cs="Arial"/>
                <w:b/>
              </w:rPr>
            </w:pPr>
          </w:p>
          <w:p w:rsidR="00AF2683" w:rsidRPr="0050195A" w:rsidRDefault="00AF2683" w:rsidP="002D357B">
            <w:pPr>
              <w:contextualSpacing/>
              <w:rPr>
                <w:rFonts w:ascii="Arial" w:hAnsi="Arial" w:cs="Arial"/>
                <w:b/>
              </w:rPr>
            </w:pPr>
            <w:r w:rsidRPr="0050195A">
              <w:rPr>
                <w:rFonts w:ascii="Arial" w:eastAsia="Arial" w:hAnsi="Arial" w:cs="Arial"/>
                <w:b/>
              </w:rPr>
              <w:t>4.2: DEMONSTRATE CONSERVATION OF ECOSYSTEM SERVICES</w:t>
            </w:r>
          </w:p>
        </w:tc>
        <w:tc>
          <w:tcPr>
            <w:tcW w:w="7071" w:type="dxa"/>
          </w:tcPr>
          <w:p w:rsidR="00AF2683" w:rsidRPr="008E61F4" w:rsidRDefault="00AF2683" w:rsidP="002D357B">
            <w:pPr>
              <w:contextualSpacing/>
              <w:rPr>
                <w:rFonts w:ascii="Arial" w:eastAsia="Arial" w:hAnsi="Arial" w:cs="Arial"/>
                <w:sz w:val="18"/>
                <w:szCs w:val="18"/>
              </w:rPr>
            </w:pPr>
          </w:p>
          <w:p w:rsidR="00AF2683" w:rsidRPr="008E61F4" w:rsidRDefault="00AF2683" w:rsidP="002D357B">
            <w:pPr>
              <w:contextualSpacing/>
              <w:rPr>
                <w:rFonts w:ascii="Arial" w:eastAsia="Arial" w:hAnsi="Arial" w:cs="Arial"/>
                <w:sz w:val="18"/>
                <w:szCs w:val="18"/>
              </w:rPr>
            </w:pPr>
            <w:r w:rsidRPr="008E61F4">
              <w:rPr>
                <w:rFonts w:ascii="Arial" w:eastAsia="Arial" w:hAnsi="Arial" w:cs="Arial"/>
                <w:sz w:val="18"/>
                <w:szCs w:val="18"/>
              </w:rPr>
              <w:t>The area is maintaining and providing the major ecosystem service values.</w:t>
            </w:r>
          </w:p>
          <w:p w:rsidR="00AF2683" w:rsidRPr="008E61F4" w:rsidRDefault="00AF2683" w:rsidP="002D357B">
            <w:pPr>
              <w:contextualSpacing/>
              <w:rPr>
                <w:rFonts w:ascii="Arial" w:eastAsia="Arial" w:hAnsi="Arial" w:cs="Arial"/>
                <w:b/>
                <w:sz w:val="18"/>
                <w:szCs w:val="18"/>
              </w:rPr>
            </w:pPr>
          </w:p>
        </w:tc>
      </w:tr>
      <w:tr w:rsidR="00AF2683" w:rsidRPr="00B42B0A" w:rsidTr="001F1FD8">
        <w:tc>
          <w:tcPr>
            <w:tcW w:w="7071" w:type="dxa"/>
          </w:tcPr>
          <w:p w:rsidR="00AF2683" w:rsidRPr="0050195A" w:rsidRDefault="00AF2683" w:rsidP="002D357B">
            <w:pPr>
              <w:contextualSpacing/>
              <w:rPr>
                <w:rFonts w:ascii="Arial" w:eastAsia="Arial" w:hAnsi="Arial" w:cs="Arial"/>
                <w:b/>
              </w:rPr>
            </w:pPr>
          </w:p>
          <w:p w:rsidR="00AF2683" w:rsidRPr="0050195A" w:rsidRDefault="00AF2683" w:rsidP="002D357B">
            <w:pPr>
              <w:contextualSpacing/>
              <w:rPr>
                <w:rFonts w:ascii="Arial" w:hAnsi="Arial" w:cs="Arial"/>
                <w:b/>
              </w:rPr>
            </w:pPr>
            <w:r w:rsidRPr="0050195A">
              <w:rPr>
                <w:rFonts w:ascii="Arial" w:eastAsia="Arial" w:hAnsi="Arial" w:cs="Arial"/>
                <w:b/>
              </w:rPr>
              <w:t>4.3 DEMONSTRATE CONSERVATION OF CULTURAL VALUES</w:t>
            </w:r>
          </w:p>
        </w:tc>
        <w:tc>
          <w:tcPr>
            <w:tcW w:w="7071" w:type="dxa"/>
          </w:tcPr>
          <w:p w:rsidR="00AF2683" w:rsidRPr="008E61F4" w:rsidRDefault="00AF2683" w:rsidP="002D357B">
            <w:pPr>
              <w:contextualSpacing/>
              <w:rPr>
                <w:rFonts w:ascii="Arial" w:eastAsia="Arial" w:hAnsi="Arial" w:cs="Arial"/>
                <w:sz w:val="18"/>
                <w:szCs w:val="18"/>
              </w:rPr>
            </w:pPr>
          </w:p>
          <w:p w:rsidR="00AF2683" w:rsidRPr="008E61F4" w:rsidRDefault="00AF2683" w:rsidP="002D357B">
            <w:pPr>
              <w:contextualSpacing/>
              <w:rPr>
                <w:rFonts w:ascii="Arial" w:eastAsia="Arial" w:hAnsi="Arial" w:cs="Arial"/>
                <w:sz w:val="18"/>
                <w:szCs w:val="18"/>
              </w:rPr>
            </w:pPr>
            <w:r w:rsidRPr="008E61F4">
              <w:rPr>
                <w:rFonts w:ascii="Arial" w:eastAsia="Arial" w:hAnsi="Arial" w:cs="Arial"/>
                <w:sz w:val="18"/>
                <w:szCs w:val="18"/>
              </w:rPr>
              <w:t>The area is maintaining and providing for the persistence of major cultural values.</w:t>
            </w:r>
          </w:p>
          <w:p w:rsidR="00AF2683" w:rsidRPr="008E61F4" w:rsidRDefault="00AF2683" w:rsidP="002D357B">
            <w:pPr>
              <w:contextualSpacing/>
              <w:rPr>
                <w:rFonts w:ascii="Arial" w:eastAsia="Arial" w:hAnsi="Arial" w:cs="Arial"/>
                <w:b/>
                <w:sz w:val="18"/>
                <w:szCs w:val="18"/>
              </w:rPr>
            </w:pPr>
          </w:p>
        </w:tc>
      </w:tr>
    </w:tbl>
    <w:p w:rsidR="00DA5C94" w:rsidRPr="00CC4C9B" w:rsidRDefault="00DA5C94" w:rsidP="00101F0E">
      <w:pPr>
        <w:rPr>
          <w:rFonts w:ascii="Arial" w:hAnsi="Arial" w:cs="Arial"/>
          <w:color w:val="auto"/>
        </w:rPr>
      </w:pPr>
    </w:p>
    <w:sectPr w:rsidR="00DA5C94" w:rsidRPr="00CC4C9B" w:rsidSect="00CC4C9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0C" w:rsidRDefault="000D5F0C" w:rsidP="00CC4C9B">
      <w:pPr>
        <w:spacing w:after="0" w:line="240" w:lineRule="auto"/>
      </w:pPr>
      <w:r>
        <w:separator/>
      </w:r>
    </w:p>
  </w:endnote>
  <w:endnote w:type="continuationSeparator" w:id="0">
    <w:p w:rsidR="000D5F0C" w:rsidRDefault="000D5F0C" w:rsidP="00CC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0C" w:rsidRDefault="000D5F0C" w:rsidP="00CC4C9B">
      <w:pPr>
        <w:spacing w:after="0" w:line="240" w:lineRule="auto"/>
      </w:pPr>
      <w:r>
        <w:separator/>
      </w:r>
    </w:p>
  </w:footnote>
  <w:footnote w:type="continuationSeparator" w:id="0">
    <w:p w:rsidR="000D5F0C" w:rsidRDefault="000D5F0C" w:rsidP="00CC4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7B" w:rsidRDefault="00BE777B" w:rsidP="00BE77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3C8"/>
    <w:multiLevelType w:val="hybridMultilevel"/>
    <w:tmpl w:val="81762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511C4A"/>
    <w:multiLevelType w:val="multilevel"/>
    <w:tmpl w:val="F2204B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BFA183D"/>
    <w:multiLevelType w:val="hybridMultilevel"/>
    <w:tmpl w:val="C9E60AE2"/>
    <w:lvl w:ilvl="0" w:tplc="694E4AF4">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B0597"/>
    <w:multiLevelType w:val="hybridMultilevel"/>
    <w:tmpl w:val="42DAF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F237E7"/>
    <w:multiLevelType w:val="multilevel"/>
    <w:tmpl w:val="8B1ACA12"/>
    <w:lvl w:ilvl="0">
      <w:start w:val="1"/>
      <w:numFmt w:val="decimal"/>
      <w:lvlText w:val="%1."/>
      <w:lvlJc w:val="left"/>
      <w:pPr>
        <w:ind w:left="720" w:firstLine="360"/>
      </w:pPr>
    </w:lvl>
    <w:lvl w:ilvl="1">
      <w:start w:val="5"/>
      <w:numFmt w:val="decimal"/>
      <w:lvlText w:val="%1.%2"/>
      <w:lvlJc w:val="left"/>
      <w:pPr>
        <w:ind w:left="732"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5">
    <w:nsid w:val="13FB4783"/>
    <w:multiLevelType w:val="hybridMultilevel"/>
    <w:tmpl w:val="F326A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284C17"/>
    <w:multiLevelType w:val="hybridMultilevel"/>
    <w:tmpl w:val="83609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F17C87"/>
    <w:multiLevelType w:val="hybridMultilevel"/>
    <w:tmpl w:val="3EAA5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DA1864"/>
    <w:multiLevelType w:val="hybridMultilevel"/>
    <w:tmpl w:val="B9BC0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B203638"/>
    <w:multiLevelType w:val="hybridMultilevel"/>
    <w:tmpl w:val="6C8217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C0F7753"/>
    <w:multiLevelType w:val="multilevel"/>
    <w:tmpl w:val="DD3E1FC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AD7D59"/>
    <w:multiLevelType w:val="multilevel"/>
    <w:tmpl w:val="2BA012EE"/>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357E6052"/>
    <w:multiLevelType w:val="multilevel"/>
    <w:tmpl w:val="F9B430B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36B33C39"/>
    <w:multiLevelType w:val="multilevel"/>
    <w:tmpl w:val="1D64EEB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nsid w:val="3C1C4D25"/>
    <w:multiLevelType w:val="multilevel"/>
    <w:tmpl w:val="B7B8C7AA"/>
    <w:lvl w:ilvl="0">
      <w:start w:val="1"/>
      <w:numFmt w:val="decimal"/>
      <w:lvlText w:val="%1."/>
      <w:lvlJc w:val="left"/>
      <w:pPr>
        <w:ind w:left="360" w:firstLine="0"/>
      </w:pPr>
    </w:lvl>
    <w:lvl w:ilvl="1">
      <w:start w:val="1"/>
      <w:numFmt w:val="bullet"/>
      <w:lvlText w:val="●"/>
      <w:lvlJc w:val="left"/>
      <w:pPr>
        <w:ind w:left="144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nsid w:val="3DD67EE6"/>
    <w:multiLevelType w:val="hybridMultilevel"/>
    <w:tmpl w:val="2F181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DF2BAF"/>
    <w:multiLevelType w:val="multilevel"/>
    <w:tmpl w:val="1888A1C0"/>
    <w:lvl w:ilvl="0">
      <w:start w:val="1"/>
      <w:numFmt w:val="decimal"/>
      <w:lvlText w:val="%1."/>
      <w:lvlJc w:val="left"/>
      <w:pPr>
        <w:ind w:left="360" w:firstLine="0"/>
      </w:pPr>
    </w:lvl>
    <w:lvl w:ilvl="1">
      <w:start w:val="2"/>
      <w:numFmt w:val="decimal"/>
      <w:lvlText w:val="%1.%2"/>
      <w:lvlJc w:val="left"/>
      <w:pPr>
        <w:ind w:left="372"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7">
    <w:nsid w:val="40AE14CB"/>
    <w:multiLevelType w:val="hybridMultilevel"/>
    <w:tmpl w:val="ED2AE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3056A76"/>
    <w:multiLevelType w:val="multilevel"/>
    <w:tmpl w:val="A2D0724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438A3B9B"/>
    <w:multiLevelType w:val="hybridMultilevel"/>
    <w:tmpl w:val="DF8EE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83F6CCE"/>
    <w:multiLevelType w:val="multilevel"/>
    <w:tmpl w:val="CE76FC6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nsid w:val="4A4631D4"/>
    <w:multiLevelType w:val="multilevel"/>
    <w:tmpl w:val="806655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BFE21F7"/>
    <w:multiLevelType w:val="multilevel"/>
    <w:tmpl w:val="630417B8"/>
    <w:lvl w:ilvl="0">
      <w:start w:val="1"/>
      <w:numFmt w:val="decimal"/>
      <w:lvlText w:val="%1."/>
      <w:lvlJc w:val="left"/>
      <w:pPr>
        <w:ind w:left="360" w:firstLine="0"/>
      </w:pPr>
    </w:lvl>
    <w:lvl w:ilvl="1">
      <w:start w:val="1"/>
      <w:numFmt w:val="bullet"/>
      <w:lvlText w:val="•"/>
      <w:lvlJc w:val="left"/>
      <w:pPr>
        <w:ind w:left="144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nsid w:val="4F261FCF"/>
    <w:multiLevelType w:val="hybridMultilevel"/>
    <w:tmpl w:val="E13660A8"/>
    <w:lvl w:ilvl="0" w:tplc="2932E0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BF246F"/>
    <w:multiLevelType w:val="hybridMultilevel"/>
    <w:tmpl w:val="4596D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0FF0053"/>
    <w:multiLevelType w:val="multilevel"/>
    <w:tmpl w:val="467C6CEE"/>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nsid w:val="542B4A1D"/>
    <w:multiLevelType w:val="hybridMultilevel"/>
    <w:tmpl w:val="DD467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5EF6A3F"/>
    <w:multiLevelType w:val="hybridMultilevel"/>
    <w:tmpl w:val="CE321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BD94D1A"/>
    <w:multiLevelType w:val="hybridMultilevel"/>
    <w:tmpl w:val="7F7AC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74871BE"/>
    <w:multiLevelType w:val="hybridMultilevel"/>
    <w:tmpl w:val="BE125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CB09A4"/>
    <w:multiLevelType w:val="multilevel"/>
    <w:tmpl w:val="0694DFB6"/>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1">
    <w:nsid w:val="6BF15029"/>
    <w:multiLevelType w:val="multilevel"/>
    <w:tmpl w:val="4926C65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EA5734B"/>
    <w:multiLevelType w:val="multilevel"/>
    <w:tmpl w:val="A0B2677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3">
    <w:nsid w:val="70E00C68"/>
    <w:multiLevelType w:val="multilevel"/>
    <w:tmpl w:val="8066556A"/>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4">
    <w:nsid w:val="73901E32"/>
    <w:multiLevelType w:val="multilevel"/>
    <w:tmpl w:val="11A0804A"/>
    <w:lvl w:ilvl="0">
      <w:start w:val="6"/>
      <w:numFmt w:val="bullet"/>
      <w:lvlText w:val="-"/>
      <w:lvlJc w:val="left"/>
      <w:pPr>
        <w:ind w:left="502" w:firstLine="142"/>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nsid w:val="765E330C"/>
    <w:multiLevelType w:val="multilevel"/>
    <w:tmpl w:val="17E2A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AA43A74"/>
    <w:multiLevelType w:val="hybridMultilevel"/>
    <w:tmpl w:val="5FA601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B205BA5"/>
    <w:multiLevelType w:val="hybridMultilevel"/>
    <w:tmpl w:val="34FE5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F890390"/>
    <w:multiLevelType w:val="hybridMultilevel"/>
    <w:tmpl w:val="BC00F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6"/>
  </w:num>
  <w:num w:numId="4">
    <w:abstractNumId w:val="36"/>
  </w:num>
  <w:num w:numId="5">
    <w:abstractNumId w:val="9"/>
  </w:num>
  <w:num w:numId="6">
    <w:abstractNumId w:val="19"/>
  </w:num>
  <w:num w:numId="7">
    <w:abstractNumId w:val="18"/>
  </w:num>
  <w:num w:numId="8">
    <w:abstractNumId w:val="27"/>
  </w:num>
  <w:num w:numId="9">
    <w:abstractNumId w:val="20"/>
  </w:num>
  <w:num w:numId="10">
    <w:abstractNumId w:val="16"/>
  </w:num>
  <w:num w:numId="11">
    <w:abstractNumId w:val="32"/>
  </w:num>
  <w:num w:numId="12">
    <w:abstractNumId w:val="14"/>
  </w:num>
  <w:num w:numId="13">
    <w:abstractNumId w:val="13"/>
  </w:num>
  <w:num w:numId="14">
    <w:abstractNumId w:val="22"/>
  </w:num>
  <w:num w:numId="15">
    <w:abstractNumId w:val="12"/>
  </w:num>
  <w:num w:numId="16">
    <w:abstractNumId w:val="25"/>
  </w:num>
  <w:num w:numId="17">
    <w:abstractNumId w:val="11"/>
  </w:num>
  <w:num w:numId="18">
    <w:abstractNumId w:val="15"/>
  </w:num>
  <w:num w:numId="19">
    <w:abstractNumId w:val="3"/>
  </w:num>
  <w:num w:numId="20">
    <w:abstractNumId w:val="24"/>
  </w:num>
  <w:num w:numId="21">
    <w:abstractNumId w:val="31"/>
  </w:num>
  <w:num w:numId="22">
    <w:abstractNumId w:val="37"/>
  </w:num>
  <w:num w:numId="23">
    <w:abstractNumId w:val="1"/>
  </w:num>
  <w:num w:numId="24">
    <w:abstractNumId w:val="28"/>
  </w:num>
  <w:num w:numId="25">
    <w:abstractNumId w:val="4"/>
  </w:num>
  <w:num w:numId="26">
    <w:abstractNumId w:val="30"/>
  </w:num>
  <w:num w:numId="27">
    <w:abstractNumId w:val="34"/>
  </w:num>
  <w:num w:numId="28">
    <w:abstractNumId w:val="7"/>
  </w:num>
  <w:num w:numId="29">
    <w:abstractNumId w:val="8"/>
  </w:num>
  <w:num w:numId="30">
    <w:abstractNumId w:val="35"/>
  </w:num>
  <w:num w:numId="31">
    <w:abstractNumId w:val="5"/>
  </w:num>
  <w:num w:numId="32">
    <w:abstractNumId w:val="26"/>
  </w:num>
  <w:num w:numId="33">
    <w:abstractNumId w:val="17"/>
  </w:num>
  <w:num w:numId="34">
    <w:abstractNumId w:val="29"/>
  </w:num>
  <w:num w:numId="35">
    <w:abstractNumId w:val="38"/>
  </w:num>
  <w:num w:numId="36">
    <w:abstractNumId w:val="0"/>
  </w:num>
  <w:num w:numId="37">
    <w:abstractNumId w:val="23"/>
  </w:num>
  <w:num w:numId="38">
    <w:abstractNumId w:val="3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28"/>
    <w:rsid w:val="000524F6"/>
    <w:rsid w:val="000B1F66"/>
    <w:rsid w:val="000D5F0C"/>
    <w:rsid w:val="00101F0E"/>
    <w:rsid w:val="00114B0D"/>
    <w:rsid w:val="0012096C"/>
    <w:rsid w:val="00155013"/>
    <w:rsid w:val="00156F02"/>
    <w:rsid w:val="00167636"/>
    <w:rsid w:val="00284E2B"/>
    <w:rsid w:val="00292319"/>
    <w:rsid w:val="00295556"/>
    <w:rsid w:val="002C1277"/>
    <w:rsid w:val="003B4A6D"/>
    <w:rsid w:val="003D22DC"/>
    <w:rsid w:val="0050195A"/>
    <w:rsid w:val="005369D2"/>
    <w:rsid w:val="005843D7"/>
    <w:rsid w:val="005A33E6"/>
    <w:rsid w:val="005F54D0"/>
    <w:rsid w:val="0060017A"/>
    <w:rsid w:val="006012ED"/>
    <w:rsid w:val="00612220"/>
    <w:rsid w:val="0061623F"/>
    <w:rsid w:val="0069319C"/>
    <w:rsid w:val="006E2B60"/>
    <w:rsid w:val="00732679"/>
    <w:rsid w:val="007509D3"/>
    <w:rsid w:val="00767D29"/>
    <w:rsid w:val="0078683D"/>
    <w:rsid w:val="007B2227"/>
    <w:rsid w:val="007C0A28"/>
    <w:rsid w:val="00851148"/>
    <w:rsid w:val="00872C28"/>
    <w:rsid w:val="008C3D4C"/>
    <w:rsid w:val="008E61F4"/>
    <w:rsid w:val="008F310A"/>
    <w:rsid w:val="00972B52"/>
    <w:rsid w:val="00984674"/>
    <w:rsid w:val="00A24E5F"/>
    <w:rsid w:val="00A846C6"/>
    <w:rsid w:val="00AF2683"/>
    <w:rsid w:val="00AF574B"/>
    <w:rsid w:val="00B17137"/>
    <w:rsid w:val="00BD5F0F"/>
    <w:rsid w:val="00BE777B"/>
    <w:rsid w:val="00BF6C51"/>
    <w:rsid w:val="00C52322"/>
    <w:rsid w:val="00CC4C9B"/>
    <w:rsid w:val="00CE73E6"/>
    <w:rsid w:val="00DA5C94"/>
    <w:rsid w:val="00DC656F"/>
    <w:rsid w:val="00DD13A5"/>
    <w:rsid w:val="00DF0897"/>
    <w:rsid w:val="00DF5770"/>
    <w:rsid w:val="00E804E2"/>
    <w:rsid w:val="00E81384"/>
    <w:rsid w:val="00E92EB0"/>
    <w:rsid w:val="00E97072"/>
    <w:rsid w:val="00F1022D"/>
    <w:rsid w:val="00FB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2C28"/>
    <w:rPr>
      <w:rFonts w:ascii="Calibri" w:eastAsia="Calibri" w:hAnsi="Calibri" w:cs="Calibri"/>
      <w:color w:val="000000"/>
      <w:lang w:val="en-CA" w:eastAsia="en-CA"/>
    </w:rPr>
  </w:style>
  <w:style w:type="paragraph" w:styleId="Heading2">
    <w:name w:val="heading 2"/>
    <w:basedOn w:val="Normal"/>
    <w:next w:val="Normal"/>
    <w:link w:val="Heading2Char"/>
    <w:uiPriority w:val="9"/>
    <w:semiHidden/>
    <w:unhideWhenUsed/>
    <w:qFormat/>
    <w:rsid w:val="00CC4C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72C28"/>
    <w:pPr>
      <w:keepNext/>
      <w:keepLines/>
      <w:spacing w:before="200" w:after="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28"/>
    <w:rPr>
      <w:rFonts w:ascii="Tahoma" w:eastAsia="Calibri" w:hAnsi="Tahoma" w:cs="Tahoma"/>
      <w:color w:val="000000"/>
      <w:sz w:val="16"/>
      <w:szCs w:val="16"/>
      <w:lang w:val="en-CA" w:eastAsia="en-CA"/>
    </w:rPr>
  </w:style>
  <w:style w:type="character" w:customStyle="1" w:styleId="Heading3Char">
    <w:name w:val="Heading 3 Char"/>
    <w:basedOn w:val="DefaultParagraphFont"/>
    <w:link w:val="Heading3"/>
    <w:rsid w:val="00872C28"/>
    <w:rPr>
      <w:rFonts w:ascii="Cambria" w:eastAsia="Cambria" w:hAnsi="Cambria" w:cs="Cambria"/>
      <w:b/>
      <w:color w:val="4F81BD"/>
      <w:lang w:val="en-CA" w:eastAsia="en-CA"/>
    </w:rPr>
  </w:style>
  <w:style w:type="paragraph" w:styleId="ListParagraph">
    <w:name w:val="List Paragraph"/>
    <w:basedOn w:val="Normal"/>
    <w:link w:val="ListParagraphChar"/>
    <w:uiPriority w:val="34"/>
    <w:qFormat/>
    <w:rsid w:val="00872C28"/>
    <w:pPr>
      <w:ind w:left="720"/>
      <w:contextualSpacing/>
    </w:pPr>
  </w:style>
  <w:style w:type="character" w:customStyle="1" w:styleId="ListParagraphChar">
    <w:name w:val="List Paragraph Char"/>
    <w:link w:val="ListParagraph"/>
    <w:uiPriority w:val="34"/>
    <w:rsid w:val="00872C28"/>
    <w:rPr>
      <w:rFonts w:ascii="Calibri" w:eastAsia="Calibri" w:hAnsi="Calibri" w:cs="Calibri"/>
      <w:color w:val="000000"/>
      <w:lang w:val="en-CA" w:eastAsia="en-CA"/>
    </w:rPr>
  </w:style>
  <w:style w:type="table" w:styleId="TableGrid">
    <w:name w:val="Table Grid"/>
    <w:basedOn w:val="TableNormal"/>
    <w:uiPriority w:val="59"/>
    <w:rsid w:val="00CC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C4C9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CC4C9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CC4C9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semiHidden/>
    <w:rsid w:val="00CC4C9B"/>
    <w:rPr>
      <w:rFonts w:asciiTheme="majorHAnsi" w:eastAsiaTheme="majorEastAsia" w:hAnsiTheme="majorHAnsi" w:cstheme="majorBidi"/>
      <w:b/>
      <w:bCs/>
      <w:color w:val="4F81BD" w:themeColor="accent1"/>
      <w:sz w:val="26"/>
      <w:szCs w:val="26"/>
      <w:lang w:val="en-CA" w:eastAsia="en-CA"/>
    </w:rPr>
  </w:style>
  <w:style w:type="character" w:styleId="CommentReference">
    <w:name w:val="annotation reference"/>
    <w:basedOn w:val="DefaultParagraphFont"/>
    <w:uiPriority w:val="99"/>
    <w:semiHidden/>
    <w:unhideWhenUsed/>
    <w:rsid w:val="00CC4C9B"/>
    <w:rPr>
      <w:sz w:val="18"/>
      <w:szCs w:val="18"/>
    </w:rPr>
  </w:style>
  <w:style w:type="paragraph" w:styleId="CommentText">
    <w:name w:val="annotation text"/>
    <w:basedOn w:val="Normal"/>
    <w:link w:val="CommentTextChar"/>
    <w:uiPriority w:val="99"/>
    <w:semiHidden/>
    <w:unhideWhenUsed/>
    <w:rsid w:val="00CC4C9B"/>
    <w:pPr>
      <w:spacing w:line="240" w:lineRule="auto"/>
    </w:pPr>
    <w:rPr>
      <w:sz w:val="24"/>
      <w:szCs w:val="24"/>
    </w:rPr>
  </w:style>
  <w:style w:type="character" w:customStyle="1" w:styleId="CommentTextChar">
    <w:name w:val="Comment Text Char"/>
    <w:basedOn w:val="DefaultParagraphFont"/>
    <w:link w:val="CommentText"/>
    <w:uiPriority w:val="99"/>
    <w:semiHidden/>
    <w:rsid w:val="00CC4C9B"/>
    <w:rPr>
      <w:rFonts w:ascii="Calibri" w:eastAsia="Calibri" w:hAnsi="Calibri" w:cs="Calibri"/>
      <w:color w:val="000000"/>
      <w:sz w:val="24"/>
      <w:szCs w:val="24"/>
      <w:lang w:val="en-CA" w:eastAsia="en-CA"/>
    </w:rPr>
  </w:style>
  <w:style w:type="table" w:styleId="LightShading-Accent1">
    <w:name w:val="Light Shading Accent 1"/>
    <w:basedOn w:val="TableNormal"/>
    <w:uiPriority w:val="60"/>
    <w:rsid w:val="006162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61623F"/>
    <w:pPr>
      <w:spacing w:after="0" w:line="240" w:lineRule="auto"/>
    </w:pPr>
    <w:rPr>
      <w:rFonts w:ascii="Calibri" w:eastAsia="Calibri" w:hAnsi="Calibri" w:cs="Calibri"/>
      <w:color w:val="000000"/>
      <w:lang w:val="en-CA" w:eastAsia="en-CA"/>
    </w:rPr>
  </w:style>
  <w:style w:type="paragraph" w:styleId="FootnoteText">
    <w:name w:val="footnote text"/>
    <w:basedOn w:val="Normal"/>
    <w:link w:val="FootnoteTextChar"/>
    <w:uiPriority w:val="99"/>
    <w:semiHidden/>
    <w:unhideWhenUsed/>
    <w:rsid w:val="00DC6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56F"/>
    <w:rPr>
      <w:rFonts w:ascii="Calibri" w:eastAsia="Calibri" w:hAnsi="Calibri" w:cs="Calibri"/>
      <w:color w:val="000000"/>
      <w:sz w:val="20"/>
      <w:szCs w:val="20"/>
      <w:lang w:val="en-CA" w:eastAsia="en-CA"/>
    </w:rPr>
  </w:style>
  <w:style w:type="character" w:styleId="FootnoteReference">
    <w:name w:val="footnote reference"/>
    <w:uiPriority w:val="99"/>
    <w:semiHidden/>
    <w:unhideWhenUsed/>
    <w:rsid w:val="00DC656F"/>
    <w:rPr>
      <w:vertAlign w:val="superscript"/>
    </w:rPr>
  </w:style>
  <w:style w:type="character" w:styleId="Emphasis">
    <w:name w:val="Emphasis"/>
    <w:basedOn w:val="DefaultParagraphFont"/>
    <w:uiPriority w:val="20"/>
    <w:qFormat/>
    <w:rsid w:val="00BD5F0F"/>
    <w:rPr>
      <w:i/>
      <w:iCs/>
    </w:rPr>
  </w:style>
  <w:style w:type="paragraph" w:customStyle="1" w:styleId="Default">
    <w:name w:val="Default"/>
    <w:rsid w:val="0016763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77B"/>
    <w:rPr>
      <w:rFonts w:ascii="Calibri" w:eastAsia="Calibri" w:hAnsi="Calibri" w:cs="Calibri"/>
      <w:color w:val="000000"/>
      <w:lang w:val="en-CA" w:eastAsia="en-CA"/>
    </w:rPr>
  </w:style>
  <w:style w:type="paragraph" w:styleId="Footer">
    <w:name w:val="footer"/>
    <w:basedOn w:val="Normal"/>
    <w:link w:val="FooterChar"/>
    <w:uiPriority w:val="99"/>
    <w:unhideWhenUsed/>
    <w:rsid w:val="00BE7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77B"/>
    <w:rPr>
      <w:rFonts w:ascii="Calibri" w:eastAsia="Calibri" w:hAnsi="Calibri" w:cs="Calibri"/>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2C28"/>
    <w:rPr>
      <w:rFonts w:ascii="Calibri" w:eastAsia="Calibri" w:hAnsi="Calibri" w:cs="Calibri"/>
      <w:color w:val="000000"/>
      <w:lang w:val="en-CA" w:eastAsia="en-CA"/>
    </w:rPr>
  </w:style>
  <w:style w:type="paragraph" w:styleId="Heading2">
    <w:name w:val="heading 2"/>
    <w:basedOn w:val="Normal"/>
    <w:next w:val="Normal"/>
    <w:link w:val="Heading2Char"/>
    <w:uiPriority w:val="9"/>
    <w:semiHidden/>
    <w:unhideWhenUsed/>
    <w:qFormat/>
    <w:rsid w:val="00CC4C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72C28"/>
    <w:pPr>
      <w:keepNext/>
      <w:keepLines/>
      <w:spacing w:before="200" w:after="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28"/>
    <w:rPr>
      <w:rFonts w:ascii="Tahoma" w:eastAsia="Calibri" w:hAnsi="Tahoma" w:cs="Tahoma"/>
      <w:color w:val="000000"/>
      <w:sz w:val="16"/>
      <w:szCs w:val="16"/>
      <w:lang w:val="en-CA" w:eastAsia="en-CA"/>
    </w:rPr>
  </w:style>
  <w:style w:type="character" w:customStyle="1" w:styleId="Heading3Char">
    <w:name w:val="Heading 3 Char"/>
    <w:basedOn w:val="DefaultParagraphFont"/>
    <w:link w:val="Heading3"/>
    <w:rsid w:val="00872C28"/>
    <w:rPr>
      <w:rFonts w:ascii="Cambria" w:eastAsia="Cambria" w:hAnsi="Cambria" w:cs="Cambria"/>
      <w:b/>
      <w:color w:val="4F81BD"/>
      <w:lang w:val="en-CA" w:eastAsia="en-CA"/>
    </w:rPr>
  </w:style>
  <w:style w:type="paragraph" w:styleId="ListParagraph">
    <w:name w:val="List Paragraph"/>
    <w:basedOn w:val="Normal"/>
    <w:link w:val="ListParagraphChar"/>
    <w:uiPriority w:val="34"/>
    <w:qFormat/>
    <w:rsid w:val="00872C28"/>
    <w:pPr>
      <w:ind w:left="720"/>
      <w:contextualSpacing/>
    </w:pPr>
  </w:style>
  <w:style w:type="character" w:customStyle="1" w:styleId="ListParagraphChar">
    <w:name w:val="List Paragraph Char"/>
    <w:link w:val="ListParagraph"/>
    <w:uiPriority w:val="34"/>
    <w:rsid w:val="00872C28"/>
    <w:rPr>
      <w:rFonts w:ascii="Calibri" w:eastAsia="Calibri" w:hAnsi="Calibri" w:cs="Calibri"/>
      <w:color w:val="000000"/>
      <w:lang w:val="en-CA" w:eastAsia="en-CA"/>
    </w:rPr>
  </w:style>
  <w:style w:type="table" w:styleId="TableGrid">
    <w:name w:val="Table Grid"/>
    <w:basedOn w:val="TableNormal"/>
    <w:uiPriority w:val="59"/>
    <w:rsid w:val="00CC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C4C9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CC4C9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CC4C9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semiHidden/>
    <w:rsid w:val="00CC4C9B"/>
    <w:rPr>
      <w:rFonts w:asciiTheme="majorHAnsi" w:eastAsiaTheme="majorEastAsia" w:hAnsiTheme="majorHAnsi" w:cstheme="majorBidi"/>
      <w:b/>
      <w:bCs/>
      <w:color w:val="4F81BD" w:themeColor="accent1"/>
      <w:sz w:val="26"/>
      <w:szCs w:val="26"/>
      <w:lang w:val="en-CA" w:eastAsia="en-CA"/>
    </w:rPr>
  </w:style>
  <w:style w:type="character" w:styleId="CommentReference">
    <w:name w:val="annotation reference"/>
    <w:basedOn w:val="DefaultParagraphFont"/>
    <w:uiPriority w:val="99"/>
    <w:semiHidden/>
    <w:unhideWhenUsed/>
    <w:rsid w:val="00CC4C9B"/>
    <w:rPr>
      <w:sz w:val="18"/>
      <w:szCs w:val="18"/>
    </w:rPr>
  </w:style>
  <w:style w:type="paragraph" w:styleId="CommentText">
    <w:name w:val="annotation text"/>
    <w:basedOn w:val="Normal"/>
    <w:link w:val="CommentTextChar"/>
    <w:uiPriority w:val="99"/>
    <w:semiHidden/>
    <w:unhideWhenUsed/>
    <w:rsid w:val="00CC4C9B"/>
    <w:pPr>
      <w:spacing w:line="240" w:lineRule="auto"/>
    </w:pPr>
    <w:rPr>
      <w:sz w:val="24"/>
      <w:szCs w:val="24"/>
    </w:rPr>
  </w:style>
  <w:style w:type="character" w:customStyle="1" w:styleId="CommentTextChar">
    <w:name w:val="Comment Text Char"/>
    <w:basedOn w:val="DefaultParagraphFont"/>
    <w:link w:val="CommentText"/>
    <w:uiPriority w:val="99"/>
    <w:semiHidden/>
    <w:rsid w:val="00CC4C9B"/>
    <w:rPr>
      <w:rFonts w:ascii="Calibri" w:eastAsia="Calibri" w:hAnsi="Calibri" w:cs="Calibri"/>
      <w:color w:val="000000"/>
      <w:sz w:val="24"/>
      <w:szCs w:val="24"/>
      <w:lang w:val="en-CA" w:eastAsia="en-CA"/>
    </w:rPr>
  </w:style>
  <w:style w:type="table" w:styleId="LightShading-Accent1">
    <w:name w:val="Light Shading Accent 1"/>
    <w:basedOn w:val="TableNormal"/>
    <w:uiPriority w:val="60"/>
    <w:rsid w:val="006162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61623F"/>
    <w:pPr>
      <w:spacing w:after="0" w:line="240" w:lineRule="auto"/>
    </w:pPr>
    <w:rPr>
      <w:rFonts w:ascii="Calibri" w:eastAsia="Calibri" w:hAnsi="Calibri" w:cs="Calibri"/>
      <w:color w:val="000000"/>
      <w:lang w:val="en-CA" w:eastAsia="en-CA"/>
    </w:rPr>
  </w:style>
  <w:style w:type="paragraph" w:styleId="FootnoteText">
    <w:name w:val="footnote text"/>
    <w:basedOn w:val="Normal"/>
    <w:link w:val="FootnoteTextChar"/>
    <w:uiPriority w:val="99"/>
    <w:semiHidden/>
    <w:unhideWhenUsed/>
    <w:rsid w:val="00DC6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56F"/>
    <w:rPr>
      <w:rFonts w:ascii="Calibri" w:eastAsia="Calibri" w:hAnsi="Calibri" w:cs="Calibri"/>
      <w:color w:val="000000"/>
      <w:sz w:val="20"/>
      <w:szCs w:val="20"/>
      <w:lang w:val="en-CA" w:eastAsia="en-CA"/>
    </w:rPr>
  </w:style>
  <w:style w:type="character" w:styleId="FootnoteReference">
    <w:name w:val="footnote reference"/>
    <w:uiPriority w:val="99"/>
    <w:semiHidden/>
    <w:unhideWhenUsed/>
    <w:rsid w:val="00DC656F"/>
    <w:rPr>
      <w:vertAlign w:val="superscript"/>
    </w:rPr>
  </w:style>
  <w:style w:type="character" w:styleId="Emphasis">
    <w:name w:val="Emphasis"/>
    <w:basedOn w:val="DefaultParagraphFont"/>
    <w:uiPriority w:val="20"/>
    <w:qFormat/>
    <w:rsid w:val="00BD5F0F"/>
    <w:rPr>
      <w:i/>
      <w:iCs/>
    </w:rPr>
  </w:style>
  <w:style w:type="paragraph" w:customStyle="1" w:styleId="Default">
    <w:name w:val="Default"/>
    <w:rsid w:val="0016763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77B"/>
    <w:rPr>
      <w:rFonts w:ascii="Calibri" w:eastAsia="Calibri" w:hAnsi="Calibri" w:cs="Calibri"/>
      <w:color w:val="000000"/>
      <w:lang w:val="en-CA" w:eastAsia="en-CA"/>
    </w:rPr>
  </w:style>
  <w:style w:type="paragraph" w:styleId="Footer">
    <w:name w:val="footer"/>
    <w:basedOn w:val="Normal"/>
    <w:link w:val="FooterChar"/>
    <w:uiPriority w:val="99"/>
    <w:unhideWhenUsed/>
    <w:rsid w:val="00BE7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77B"/>
    <w:rPr>
      <w:rFonts w:ascii="Calibri" w:eastAsia="Calibri"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pca@iucn.org" TargetMode="External"/><Relationship Id="rId5" Type="http://schemas.openxmlformats.org/officeDocument/2006/relationships/webSettings" Target="webSettings.xml"/><Relationship Id="rId10" Type="http://schemas.openxmlformats.org/officeDocument/2006/relationships/hyperlink" Target="http://www.isealalliance.org/our-work/defining-credibility/codes-of-good-practice/standard-setting-code" TargetMode="External"/><Relationship Id="rId4" Type="http://schemas.openxmlformats.org/officeDocument/2006/relationships/settings" Target="settings.xml"/><Relationship Id="rId9" Type="http://schemas.openxmlformats.org/officeDocument/2006/relationships/hyperlink" Target="mailto:glpca@iuc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IUCN\HardcastleJ</dc:creator>
  <cp:lastModifiedBy>IUCN\HardcastleJ</cp:lastModifiedBy>
  <cp:revision>2</cp:revision>
  <cp:lastPrinted>2016-09-02T00:27:00Z</cp:lastPrinted>
  <dcterms:created xsi:type="dcterms:W3CDTF">2016-09-02T00:31:00Z</dcterms:created>
  <dcterms:modified xsi:type="dcterms:W3CDTF">2016-09-02T00:31:00Z</dcterms:modified>
</cp:coreProperties>
</file>